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9B" w:rsidRPr="004A7E6A" w:rsidRDefault="00514A84" w:rsidP="00D36C98">
      <w:pPr>
        <w:pStyle w:val="Title"/>
        <w:spacing w:before="0" w:after="360" w:line="360" w:lineRule="auto"/>
        <w:jc w:val="left"/>
        <w:rPr>
          <w:rFonts w:ascii="Times New Roman" w:hAnsi="Times New Roman"/>
          <w:sz w:val="28"/>
          <w:szCs w:val="28"/>
          <w:lang w:val="en-GB"/>
        </w:rPr>
      </w:pPr>
      <w:r w:rsidRPr="00C4579B">
        <w:rPr>
          <w:rFonts w:ascii="Times New Roman" w:hAnsi="Times New Roman"/>
          <w:sz w:val="28"/>
          <w:szCs w:val="28"/>
        </w:rPr>
        <w:t>Power</w:t>
      </w:r>
      <w:r w:rsidR="004B0EE5" w:rsidRPr="00C4579B">
        <w:rPr>
          <w:rFonts w:ascii="Times New Roman" w:hAnsi="Times New Roman"/>
          <w:sz w:val="28"/>
          <w:szCs w:val="28"/>
        </w:rPr>
        <w:t xml:space="preserve"> and Normality</w:t>
      </w:r>
      <w:r w:rsidR="00A334CD" w:rsidRPr="00C4579B">
        <w:rPr>
          <w:rFonts w:ascii="Times New Roman" w:hAnsi="Times New Roman"/>
          <w:sz w:val="28"/>
          <w:szCs w:val="28"/>
        </w:rPr>
        <w:t xml:space="preserve"> </w:t>
      </w:r>
      <w:r w:rsidR="00286B67" w:rsidRPr="00C4579B">
        <w:rPr>
          <w:rFonts w:ascii="Times New Roman" w:hAnsi="Times New Roman"/>
          <w:sz w:val="28"/>
          <w:szCs w:val="28"/>
        </w:rPr>
        <w:t>in</w:t>
      </w:r>
      <w:r w:rsidR="00A334CD" w:rsidRPr="00C4579B">
        <w:rPr>
          <w:rFonts w:ascii="Times New Roman" w:hAnsi="Times New Roman"/>
          <w:sz w:val="28"/>
          <w:szCs w:val="28"/>
        </w:rPr>
        <w:t xml:space="preserve"> </w:t>
      </w:r>
      <w:r w:rsidR="00197C72" w:rsidRPr="00C4579B">
        <w:rPr>
          <w:rFonts w:ascii="Times New Roman" w:hAnsi="Times New Roman"/>
          <w:sz w:val="28"/>
          <w:szCs w:val="28"/>
        </w:rPr>
        <w:t>Paratransit</w:t>
      </w:r>
      <w:r w:rsidR="00B62C95" w:rsidRPr="00C4579B">
        <w:rPr>
          <w:rFonts w:ascii="Times New Roman" w:hAnsi="Times New Roman"/>
          <w:sz w:val="28"/>
          <w:szCs w:val="28"/>
        </w:rPr>
        <w:t xml:space="preserve"> – Individual Autonomy in Welfare State Law</w:t>
      </w:r>
    </w:p>
    <w:p w:rsidR="00B62C95" w:rsidRPr="007B61AF" w:rsidRDefault="00C4579B" w:rsidP="00D36C98">
      <w:pPr>
        <w:spacing w:after="360" w:line="360" w:lineRule="auto"/>
        <w:rPr>
          <w:lang w:val="en-GB"/>
        </w:rPr>
      </w:pPr>
      <w:r w:rsidRPr="003D440A">
        <w:rPr>
          <w:b/>
          <w:lang w:val="en-GB"/>
        </w:rPr>
        <w:t>Andreas Pettersson</w:t>
      </w:r>
      <w:r w:rsidRPr="004A7E6A">
        <w:rPr>
          <w:rStyle w:val="FootnoteReference"/>
          <w:i/>
          <w:lang w:val="en-GB"/>
        </w:rPr>
        <w:footnoteReference w:customMarkFollows="1" w:id="1"/>
        <w:t>*</w:t>
      </w:r>
    </w:p>
    <w:p w:rsidR="003D440A" w:rsidRDefault="003D440A" w:rsidP="00D36C98">
      <w:pPr>
        <w:pStyle w:val="Title"/>
        <w:spacing w:before="0" w:after="360" w:line="360" w:lineRule="auto"/>
        <w:jc w:val="left"/>
        <w:rPr>
          <w:rFonts w:ascii="Times New Roman" w:hAnsi="Times New Roman"/>
          <w:sz w:val="24"/>
          <w:szCs w:val="24"/>
          <w:lang w:val="en-GB"/>
        </w:rPr>
      </w:pPr>
    </w:p>
    <w:p w:rsidR="006F62C1" w:rsidRPr="00C4579B" w:rsidRDefault="006F62C1" w:rsidP="00D36C98">
      <w:pPr>
        <w:pStyle w:val="Title"/>
        <w:spacing w:before="0" w:after="360" w:line="360" w:lineRule="auto"/>
        <w:jc w:val="left"/>
        <w:rPr>
          <w:rFonts w:ascii="Times New Roman" w:hAnsi="Times New Roman"/>
          <w:sz w:val="24"/>
          <w:szCs w:val="24"/>
        </w:rPr>
      </w:pPr>
      <w:r w:rsidRPr="00C4579B">
        <w:rPr>
          <w:rFonts w:ascii="Times New Roman" w:hAnsi="Times New Roman"/>
          <w:sz w:val="24"/>
          <w:szCs w:val="24"/>
        </w:rPr>
        <w:t>Introduction</w:t>
      </w:r>
    </w:p>
    <w:p w:rsidR="006E06AE" w:rsidRPr="00C4579B" w:rsidRDefault="0069707C" w:rsidP="00D36C98">
      <w:pPr>
        <w:spacing w:after="360" w:line="360" w:lineRule="auto"/>
        <w:jc w:val="both"/>
      </w:pPr>
      <w:r w:rsidRPr="00C4579B">
        <w:t>The aim of t</w:t>
      </w:r>
      <w:r w:rsidR="00E6037A" w:rsidRPr="00C4579B">
        <w:t>his article i</w:t>
      </w:r>
      <w:r w:rsidR="008F492A" w:rsidRPr="00C4579B">
        <w:t xml:space="preserve">s </w:t>
      </w:r>
      <w:r w:rsidRPr="00C4579B">
        <w:t>to reflect upon the relationship between the individual and the Swedish welfare state law. More specifically the aim is to critically engage with questions o</w:t>
      </w:r>
      <w:r w:rsidR="00A3635D" w:rsidRPr="00C4579B">
        <w:t>f</w:t>
      </w:r>
      <w:r w:rsidRPr="00C4579B">
        <w:t xml:space="preserve"> power, autonomy and dependency arising </w:t>
      </w:r>
      <w:r w:rsidR="00381FE1" w:rsidRPr="00C4579B">
        <w:t>from</w:t>
      </w:r>
      <w:r w:rsidRPr="00C4579B">
        <w:t xml:space="preserve"> disability law by using analytical tools from </w:t>
      </w:r>
      <w:r w:rsidR="00DB0F15" w:rsidRPr="00C4579B">
        <w:t xml:space="preserve">feminist theory and </w:t>
      </w:r>
      <w:r w:rsidRPr="00C4579B">
        <w:t>feminist legal</w:t>
      </w:r>
      <w:r w:rsidR="00DB0F15" w:rsidRPr="00C4579B">
        <w:t xml:space="preserve"> scholarship. In the Nordic countries, both feminist scholarship and disability scholarship rest on a strong </w:t>
      </w:r>
      <w:r w:rsidR="006E06AE" w:rsidRPr="00C4579B">
        <w:t xml:space="preserve">ideological </w:t>
      </w:r>
      <w:r w:rsidR="00DB0F15" w:rsidRPr="00C4579B">
        <w:t>tradition where</w:t>
      </w:r>
      <w:r w:rsidR="00D76F3D" w:rsidRPr="00C4579B">
        <w:t>in</w:t>
      </w:r>
      <w:r w:rsidR="00DB0F15" w:rsidRPr="00C4579B">
        <w:t xml:space="preserve"> the welfare state is perceived as both the subject driving egalitarian emancipation for women and </w:t>
      </w:r>
      <w:r w:rsidR="004D6D48" w:rsidRPr="00C4579B">
        <w:t xml:space="preserve">for </w:t>
      </w:r>
      <w:r w:rsidR="00DB0F15" w:rsidRPr="00C4579B">
        <w:t xml:space="preserve">people with disabilities, and as </w:t>
      </w:r>
      <w:r w:rsidR="00381FE1" w:rsidRPr="00C4579B">
        <w:t>the object for</w:t>
      </w:r>
      <w:r w:rsidR="00DB0F15" w:rsidRPr="00C4579B">
        <w:t xml:space="preserve"> critical</w:t>
      </w:r>
      <w:r w:rsidR="004D6D48" w:rsidRPr="00C4579B">
        <w:t xml:space="preserve"> </w:t>
      </w:r>
      <w:r w:rsidR="006E06AE" w:rsidRPr="00C4579B">
        <w:t xml:space="preserve">analyses. This ideological tradition is only becoming more complex over time. With emancipatory success </w:t>
      </w:r>
      <w:r w:rsidR="00F67581" w:rsidRPr="00C4579B">
        <w:t>comes</w:t>
      </w:r>
      <w:r w:rsidR="006E06AE" w:rsidRPr="00C4579B">
        <w:t xml:space="preserve"> power and recognition</w:t>
      </w:r>
      <w:r w:rsidR="00A3635D" w:rsidRPr="00C4579B">
        <w:t>,</w:t>
      </w:r>
      <w:r w:rsidR="006E06AE" w:rsidRPr="00C4579B">
        <w:t xml:space="preserve"> as feminist and disability causes are being incorporated into the mainstream</w:t>
      </w:r>
      <w:r w:rsidR="003D54AC" w:rsidRPr="00C4579B">
        <w:t xml:space="preserve"> agenda</w:t>
      </w:r>
      <w:r w:rsidR="006E06AE" w:rsidRPr="00C4579B">
        <w:t xml:space="preserve">. </w:t>
      </w:r>
      <w:r w:rsidR="00DF3A14" w:rsidRPr="00C4579B">
        <w:t>However, at the same time</w:t>
      </w:r>
      <w:r w:rsidR="00A3635D" w:rsidRPr="00C4579B">
        <w:t>,</w:t>
      </w:r>
      <w:r w:rsidR="00DF3A14" w:rsidRPr="00C4579B">
        <w:t xml:space="preserve"> </w:t>
      </w:r>
      <w:r w:rsidR="00AF37DA" w:rsidRPr="00C4579B">
        <w:t xml:space="preserve">new challenges and vulnerabilities emerge, for example in the form of </w:t>
      </w:r>
      <w:r w:rsidR="006E06AE" w:rsidRPr="00C4579B">
        <w:t>material retrenchment or ideological backlash.</w:t>
      </w:r>
      <w:r w:rsidR="00AF37DA" w:rsidRPr="00C4579B">
        <w:t xml:space="preserve"> </w:t>
      </w:r>
      <w:r w:rsidR="00BF790E" w:rsidRPr="00C4579B">
        <w:t>American feminist scholar Nancy Fraser has made the point that the foremost objective for critical research</w:t>
      </w:r>
      <w:r w:rsidR="003F54DD" w:rsidRPr="00C4579B">
        <w:t xml:space="preserve"> with an emancipatory approach</w:t>
      </w:r>
      <w:r w:rsidR="00BF790E" w:rsidRPr="00C4579B">
        <w:t xml:space="preserve"> is to challenge institutionalized injustice (Fraser </w:t>
      </w:r>
      <w:r w:rsidR="003F54DD" w:rsidRPr="00C4579B">
        <w:t xml:space="preserve">2008). </w:t>
      </w:r>
      <w:r w:rsidR="00A3635D" w:rsidRPr="00C4579B">
        <w:t xml:space="preserve">In addition, </w:t>
      </w:r>
      <w:r w:rsidR="00912D42" w:rsidRPr="00C4579B">
        <w:t xml:space="preserve">British feminist scholar </w:t>
      </w:r>
      <w:r w:rsidR="00AF37DA" w:rsidRPr="00C4579B">
        <w:t xml:space="preserve">Sylvia </w:t>
      </w:r>
      <w:proofErr w:type="spellStart"/>
      <w:r w:rsidR="00AF37DA" w:rsidRPr="00C4579B">
        <w:t>Walby</w:t>
      </w:r>
      <w:proofErr w:type="spellEnd"/>
      <w:r w:rsidR="00AF37DA" w:rsidRPr="00C4579B">
        <w:t xml:space="preserve"> has </w:t>
      </w:r>
      <w:r w:rsidR="00A3635D" w:rsidRPr="00C4579B">
        <w:t xml:space="preserve">recently </w:t>
      </w:r>
      <w:r w:rsidR="00AF37DA" w:rsidRPr="00C4579B">
        <w:t xml:space="preserve">put forth </w:t>
      </w:r>
      <w:r w:rsidR="002F75F3" w:rsidRPr="00C4579B">
        <w:t xml:space="preserve">what she perceives as the </w:t>
      </w:r>
      <w:r w:rsidR="00AF37DA" w:rsidRPr="00C4579B">
        <w:t>t</w:t>
      </w:r>
      <w:r w:rsidR="00912D42" w:rsidRPr="00C4579B">
        <w:t xml:space="preserve">hree </w:t>
      </w:r>
      <w:r w:rsidR="002F75F3" w:rsidRPr="00C4579B">
        <w:t>major</w:t>
      </w:r>
      <w:r w:rsidR="00912D42" w:rsidRPr="00C4579B">
        <w:t xml:space="preserve"> challenges for the feminist movement</w:t>
      </w:r>
      <w:r w:rsidR="00AF37DA" w:rsidRPr="00C4579B">
        <w:t xml:space="preserve">: the engagement with government, the intersection with allies and competing forces, and the intensification of </w:t>
      </w:r>
      <w:proofErr w:type="spellStart"/>
      <w:r w:rsidR="00AF37DA" w:rsidRPr="00C4579B">
        <w:t>neoliberalism</w:t>
      </w:r>
      <w:proofErr w:type="spellEnd"/>
      <w:r w:rsidR="00AF37DA" w:rsidRPr="00C4579B">
        <w:t xml:space="preserve"> (</w:t>
      </w:r>
      <w:proofErr w:type="spellStart"/>
      <w:r w:rsidR="00AF37DA" w:rsidRPr="00C4579B">
        <w:t>Walby</w:t>
      </w:r>
      <w:proofErr w:type="spellEnd"/>
      <w:r w:rsidR="00AF37DA" w:rsidRPr="00C4579B">
        <w:t xml:space="preserve"> 2011:9).</w:t>
      </w:r>
      <w:r w:rsidR="00854322" w:rsidRPr="00C4579B">
        <w:t xml:space="preserve"> F</w:t>
      </w:r>
      <w:r w:rsidR="00912D42" w:rsidRPr="00C4579B">
        <w:t xml:space="preserve">rom </w:t>
      </w:r>
      <w:r w:rsidR="00854322" w:rsidRPr="00C4579B">
        <w:t>the</w:t>
      </w:r>
      <w:r w:rsidR="00912D42" w:rsidRPr="00C4579B">
        <w:t xml:space="preserve"> perspective of disability rese</w:t>
      </w:r>
      <w:r w:rsidR="002A66D5" w:rsidRPr="00C4579B">
        <w:t>arch in the Nordic welfare states</w:t>
      </w:r>
      <w:r w:rsidR="00854322" w:rsidRPr="00C4579B">
        <w:t>,</w:t>
      </w:r>
      <w:r w:rsidR="00912D42" w:rsidRPr="00C4579B">
        <w:t xml:space="preserve"> these challenges </w:t>
      </w:r>
      <w:r w:rsidR="0006619D" w:rsidRPr="00C4579B">
        <w:t xml:space="preserve">to women’s emancipation </w:t>
      </w:r>
      <w:r w:rsidR="00912D42" w:rsidRPr="00C4579B">
        <w:t xml:space="preserve">are </w:t>
      </w:r>
      <w:r w:rsidR="0006619D" w:rsidRPr="00C4579B">
        <w:t>also the challenges to disabled people’s emancipation</w:t>
      </w:r>
      <w:r w:rsidR="00854322" w:rsidRPr="00C4579B">
        <w:t>. Thus, feminist scholarship and disability scholarship have every incentive to engage with these challenges as mutual allies and supporters.</w:t>
      </w:r>
    </w:p>
    <w:p w:rsidR="00E6037A" w:rsidRPr="00C4579B" w:rsidRDefault="00012534" w:rsidP="00D36C98">
      <w:pPr>
        <w:spacing w:after="360" w:line="360" w:lineRule="auto"/>
        <w:jc w:val="both"/>
      </w:pPr>
      <w:r w:rsidRPr="00C4579B">
        <w:t xml:space="preserve">The article will draw upon my </w:t>
      </w:r>
      <w:r w:rsidR="00D35917" w:rsidRPr="00C4579B">
        <w:t>own studies in</w:t>
      </w:r>
      <w:r w:rsidRPr="00C4579B">
        <w:t xml:space="preserve"> </w:t>
      </w:r>
      <w:r w:rsidR="00D35917" w:rsidRPr="00C4579B">
        <w:t xml:space="preserve">Nordic </w:t>
      </w:r>
      <w:r w:rsidRPr="00C4579B">
        <w:t xml:space="preserve">disability law </w:t>
      </w:r>
      <w:r w:rsidR="00AF37DA" w:rsidRPr="00C4579B">
        <w:t xml:space="preserve">and especially </w:t>
      </w:r>
      <w:r w:rsidRPr="00C4579B">
        <w:t>special transport law. S</w:t>
      </w:r>
      <w:r w:rsidR="008F492A" w:rsidRPr="00C4579B">
        <w:t>pecial transport</w:t>
      </w:r>
      <w:r w:rsidR="00D35917" w:rsidRPr="00C4579B">
        <w:t xml:space="preserve"> services</w:t>
      </w:r>
      <w:r w:rsidR="00E6037A" w:rsidRPr="00C4579B">
        <w:t xml:space="preserve"> </w:t>
      </w:r>
      <w:r w:rsidRPr="00C4579B">
        <w:t>cater to</w:t>
      </w:r>
      <w:r w:rsidR="00E6037A" w:rsidRPr="00C4579B">
        <w:t xml:space="preserve"> the needs of people who</w:t>
      </w:r>
      <w:r w:rsidR="00D61421" w:rsidRPr="00C4579B">
        <w:t>,</w:t>
      </w:r>
      <w:r w:rsidR="00E6037A" w:rsidRPr="00C4579B">
        <w:t xml:space="preserve"> for </w:t>
      </w:r>
      <w:r w:rsidR="005134B0" w:rsidRPr="00C4579B">
        <w:t>certain</w:t>
      </w:r>
      <w:r w:rsidR="00E6037A" w:rsidRPr="00C4579B">
        <w:t xml:space="preserve"> reasons</w:t>
      </w:r>
      <w:r w:rsidR="00D61421" w:rsidRPr="00C4579B">
        <w:t>,</w:t>
      </w:r>
      <w:r w:rsidR="00E6037A" w:rsidRPr="00C4579B">
        <w:t xml:space="preserve"> </w:t>
      </w:r>
      <w:r w:rsidR="00E6037A" w:rsidRPr="00C4579B">
        <w:lastRenderedPageBreak/>
        <w:t>cannot utilize general public transport.</w:t>
      </w:r>
      <w:r w:rsidR="008F492A" w:rsidRPr="00C4579B">
        <w:t xml:space="preserve"> </w:t>
      </w:r>
      <w:r w:rsidR="00D61421" w:rsidRPr="00C4579B">
        <w:t>E</w:t>
      </w:r>
      <w:r w:rsidR="008F492A" w:rsidRPr="00C4579B">
        <w:t>njoy</w:t>
      </w:r>
      <w:r w:rsidR="00D61421" w:rsidRPr="00C4579B">
        <w:t>ing</w:t>
      </w:r>
      <w:r w:rsidR="008F492A" w:rsidRPr="00C4579B">
        <w:t xml:space="preserve"> freedom of movemen</w:t>
      </w:r>
      <w:r w:rsidR="006113D6" w:rsidRPr="00C4579B">
        <w:t xml:space="preserve">t in daily life, </w:t>
      </w:r>
      <w:r w:rsidR="00D61421" w:rsidRPr="00C4579B">
        <w:t xml:space="preserve">for instance </w:t>
      </w:r>
      <w:r w:rsidR="006113D6" w:rsidRPr="00C4579B">
        <w:t>in</w:t>
      </w:r>
      <w:r w:rsidR="008F492A" w:rsidRPr="00C4579B">
        <w:t xml:space="preserve"> utilizing means of transport to travel</w:t>
      </w:r>
      <w:r w:rsidR="00D61421" w:rsidRPr="00C4579B">
        <w:t xml:space="preserve"> wherever</w:t>
      </w:r>
      <w:r w:rsidR="008F492A" w:rsidRPr="00C4579B">
        <w:t xml:space="preserve"> one desires to go</w:t>
      </w:r>
      <w:r w:rsidR="006113D6" w:rsidRPr="00C4579B">
        <w:t>,</w:t>
      </w:r>
      <w:r w:rsidR="008F492A" w:rsidRPr="00C4579B">
        <w:t xml:space="preserve"> takes on special meaning and importance for </w:t>
      </w:r>
      <w:r w:rsidR="00D61421" w:rsidRPr="00C4579B">
        <w:t xml:space="preserve">those </w:t>
      </w:r>
      <w:r w:rsidR="008F492A" w:rsidRPr="00C4579B">
        <w:t xml:space="preserve">with impaired mobility, impaired vision and </w:t>
      </w:r>
      <w:r w:rsidR="00D61421" w:rsidRPr="00C4579B">
        <w:t xml:space="preserve">the </w:t>
      </w:r>
      <w:r w:rsidR="008F492A" w:rsidRPr="00C4579B">
        <w:t xml:space="preserve">like. </w:t>
      </w:r>
      <w:r w:rsidR="00D61421" w:rsidRPr="00C4579B">
        <w:t>P</w:t>
      </w:r>
      <w:r w:rsidR="008F492A" w:rsidRPr="00C4579B">
        <w:t xml:space="preserve">ublic transport is often inaccessible for people with disabilities and </w:t>
      </w:r>
      <w:r w:rsidR="00C408E1" w:rsidRPr="00C4579B">
        <w:t xml:space="preserve">so </w:t>
      </w:r>
      <w:r w:rsidR="008F492A" w:rsidRPr="00C4579B">
        <w:t>many depend upon compensatory measures</w:t>
      </w:r>
      <w:r w:rsidR="005134B0" w:rsidRPr="00C4579B">
        <w:t>,</w:t>
      </w:r>
      <w:r w:rsidR="008F492A" w:rsidRPr="00C4579B">
        <w:t xml:space="preserve"> such as special transport services. Despite the everyday character of the issue this is </w:t>
      </w:r>
      <w:r w:rsidR="009E0DA7" w:rsidRPr="00C4579B">
        <w:t xml:space="preserve">no small matter. </w:t>
      </w:r>
      <w:r w:rsidR="00A3635D" w:rsidRPr="00C4579B">
        <w:t xml:space="preserve">An </w:t>
      </w:r>
      <w:r w:rsidR="009E0DA7" w:rsidRPr="00C4579B">
        <w:t>individual</w:t>
      </w:r>
      <w:r w:rsidR="00A3635D" w:rsidRPr="00C4579B">
        <w:t>’</w:t>
      </w:r>
      <w:r w:rsidR="008F492A" w:rsidRPr="00C4579B">
        <w:t xml:space="preserve">s ability to move about in society </w:t>
      </w:r>
      <w:r w:rsidR="00654067" w:rsidRPr="00C4579B">
        <w:t xml:space="preserve">as part of </w:t>
      </w:r>
      <w:r w:rsidR="00A3635D" w:rsidRPr="00C4579B">
        <w:t xml:space="preserve">her or his </w:t>
      </w:r>
      <w:r w:rsidR="008F492A" w:rsidRPr="00C4579B">
        <w:t>daily life is a</w:t>
      </w:r>
      <w:r w:rsidR="003561AE" w:rsidRPr="00C4579B">
        <w:t xml:space="preserve">n important </w:t>
      </w:r>
      <w:r w:rsidR="005134B0" w:rsidRPr="00C4579B">
        <w:t>pre</w:t>
      </w:r>
      <w:r w:rsidR="003561AE" w:rsidRPr="00C4579B">
        <w:t xml:space="preserve">condition for </w:t>
      </w:r>
      <w:r w:rsidR="00E70C1A" w:rsidRPr="00C4579B">
        <w:t>the possibilities</w:t>
      </w:r>
      <w:r w:rsidR="008F492A" w:rsidRPr="00C4579B">
        <w:t xml:space="preserve"> for social participation</w:t>
      </w:r>
      <w:r w:rsidR="00511CB6" w:rsidRPr="00C4579B">
        <w:t xml:space="preserve">. </w:t>
      </w:r>
      <w:r w:rsidR="003561AE" w:rsidRPr="00C4579B">
        <w:t>T</w:t>
      </w:r>
      <w:r w:rsidR="00511CB6" w:rsidRPr="00C4579B">
        <w:t xml:space="preserve">he capacity </w:t>
      </w:r>
      <w:r w:rsidR="008F492A" w:rsidRPr="00C4579B">
        <w:t xml:space="preserve">– or lack thereof – to decide when and where to go in one’s immediate surroundings highlights </w:t>
      </w:r>
      <w:r w:rsidR="009F2FED" w:rsidRPr="00C4579B">
        <w:t>issues</w:t>
      </w:r>
      <w:r w:rsidR="008F492A" w:rsidRPr="00C4579B">
        <w:t xml:space="preserve"> of power, autonomy and </w:t>
      </w:r>
      <w:r w:rsidR="005134B0" w:rsidRPr="00C4579B">
        <w:t>dependency,</w:t>
      </w:r>
      <w:r w:rsidR="008F492A" w:rsidRPr="00C4579B">
        <w:t xml:space="preserve"> </w:t>
      </w:r>
      <w:r w:rsidR="005134B0" w:rsidRPr="00C4579B">
        <w:t xml:space="preserve">all of which </w:t>
      </w:r>
      <w:r w:rsidR="00DB1148" w:rsidRPr="00C4579B">
        <w:t xml:space="preserve">are </w:t>
      </w:r>
      <w:r w:rsidR="005134B0" w:rsidRPr="00C4579B">
        <w:t>embedded in</w:t>
      </w:r>
      <w:r w:rsidR="004C05E0" w:rsidRPr="00C4579B">
        <w:t xml:space="preserve"> </w:t>
      </w:r>
      <w:r w:rsidR="00511CB6" w:rsidRPr="00C4579B">
        <w:t xml:space="preserve">such an apparently </w:t>
      </w:r>
      <w:r w:rsidR="008F492A" w:rsidRPr="00C4579B">
        <w:t xml:space="preserve">mundane </w:t>
      </w:r>
      <w:r w:rsidR="004C05E0" w:rsidRPr="00C4579B">
        <w:t xml:space="preserve">thing </w:t>
      </w:r>
      <w:r w:rsidR="008F492A" w:rsidRPr="00C4579B">
        <w:t>as taking a trip in a car.</w:t>
      </w:r>
      <w:r w:rsidR="002B7DC5" w:rsidRPr="00C4579B">
        <w:t xml:space="preserve"> </w:t>
      </w:r>
      <w:r w:rsidR="00511CB6" w:rsidRPr="00C4579B">
        <w:t>It</w:t>
      </w:r>
      <w:r w:rsidR="00A35924" w:rsidRPr="00C4579B">
        <w:t xml:space="preserve"> is necessary to put </w:t>
      </w:r>
      <w:r w:rsidR="002B7DC5" w:rsidRPr="00C4579B">
        <w:t>these issues</w:t>
      </w:r>
      <w:r w:rsidR="004B0EE5" w:rsidRPr="00C4579B">
        <w:t xml:space="preserve"> </w:t>
      </w:r>
      <w:r w:rsidR="00A35924" w:rsidRPr="00C4579B">
        <w:t>in</w:t>
      </w:r>
      <w:r w:rsidR="002B7DC5" w:rsidRPr="00C4579B">
        <w:t>to</w:t>
      </w:r>
      <w:r w:rsidR="00A35924" w:rsidRPr="00C4579B">
        <w:t xml:space="preserve"> context.</w:t>
      </w:r>
      <w:r w:rsidR="000877B6" w:rsidRPr="00C4579B">
        <w:t xml:space="preserve"> </w:t>
      </w:r>
      <w:r w:rsidR="004B0EE5" w:rsidRPr="00C4579B">
        <w:t>Specifically, this means not only the</w:t>
      </w:r>
      <w:r w:rsidR="00BD5AA5" w:rsidRPr="00C4579B">
        <w:t xml:space="preserve"> context of</w:t>
      </w:r>
      <w:r w:rsidR="000877B6" w:rsidRPr="00C4579B">
        <w:t xml:space="preserve"> Swedish welfare state law</w:t>
      </w:r>
      <w:r w:rsidR="00BD5AA5" w:rsidRPr="00C4579B">
        <w:t>,</w:t>
      </w:r>
      <w:r w:rsidR="000877B6" w:rsidRPr="00C4579B">
        <w:t xml:space="preserve"> </w:t>
      </w:r>
      <w:r w:rsidR="00BD5AA5" w:rsidRPr="00C4579B">
        <w:t>but also th</w:t>
      </w:r>
      <w:r w:rsidR="00881C67" w:rsidRPr="00C4579B">
        <w:t xml:space="preserve">at of </w:t>
      </w:r>
      <w:r w:rsidR="00BD5AA5" w:rsidRPr="00C4579B">
        <w:t>disability and</w:t>
      </w:r>
      <w:r w:rsidR="000877B6" w:rsidRPr="00C4579B">
        <w:t xml:space="preserve"> feminist </w:t>
      </w:r>
      <w:r w:rsidR="002B7DC5" w:rsidRPr="00C4579B">
        <w:t>ideologies</w:t>
      </w:r>
      <w:r w:rsidR="000877B6" w:rsidRPr="00C4579B">
        <w:t>.</w:t>
      </w:r>
      <w:r w:rsidR="00881C67" w:rsidRPr="00C4579B">
        <w:t xml:space="preserve"> </w:t>
      </w:r>
      <w:r w:rsidR="00F60E9B" w:rsidRPr="00C4579B">
        <w:t>Finally, t</w:t>
      </w:r>
      <w:r w:rsidR="00881C67" w:rsidRPr="00C4579B">
        <w:t>his</w:t>
      </w:r>
      <w:r w:rsidR="00A7095B" w:rsidRPr="00C4579B">
        <w:t xml:space="preserve"> article </w:t>
      </w:r>
      <w:r w:rsidR="0089214F" w:rsidRPr="00C4579B">
        <w:t>disc</w:t>
      </w:r>
      <w:r w:rsidR="00CB71CC" w:rsidRPr="00C4579B">
        <w:t xml:space="preserve">usses whether </w:t>
      </w:r>
      <w:r w:rsidR="002B7DC5" w:rsidRPr="00C4579B">
        <w:t>these issues</w:t>
      </w:r>
      <w:r w:rsidR="00A7095B" w:rsidRPr="00C4579B">
        <w:t xml:space="preserve"> </w:t>
      </w:r>
      <w:r w:rsidR="00881C67" w:rsidRPr="00C4579B">
        <w:t>can be better underst</w:t>
      </w:r>
      <w:r w:rsidR="007D5CCA" w:rsidRPr="00C4579B">
        <w:t>oo</w:t>
      </w:r>
      <w:r w:rsidR="00881C67" w:rsidRPr="00C4579B">
        <w:t xml:space="preserve">d when </w:t>
      </w:r>
      <w:r w:rsidR="00F60E9B" w:rsidRPr="00C4579B">
        <w:t xml:space="preserve">considered through </w:t>
      </w:r>
      <w:r w:rsidR="0089214F" w:rsidRPr="00C4579B">
        <w:t>Nancy Fraser’s redistribution-recognition</w:t>
      </w:r>
      <w:r w:rsidR="00040649" w:rsidRPr="00C4579B">
        <w:t>-representation</w:t>
      </w:r>
      <w:r w:rsidR="0089214F" w:rsidRPr="00C4579B">
        <w:t xml:space="preserve"> dilemma (</w:t>
      </w:r>
      <w:r w:rsidR="00D93D42" w:rsidRPr="00C4579B">
        <w:t>Fraser 1997, 2000, 2001, 2003</w:t>
      </w:r>
      <w:r w:rsidR="006C61E7" w:rsidRPr="00C4579B">
        <w:t xml:space="preserve">, </w:t>
      </w:r>
      <w:r w:rsidR="00872DCB" w:rsidRPr="00C4579B">
        <w:t xml:space="preserve">2005, </w:t>
      </w:r>
      <w:r w:rsidR="006C61E7" w:rsidRPr="00C4579B">
        <w:t>2008</w:t>
      </w:r>
      <w:r w:rsidR="006A51ED" w:rsidRPr="00C4579B">
        <w:t>, Nash &amp; Bell 2007</w:t>
      </w:r>
      <w:r w:rsidR="00D93D42" w:rsidRPr="00C4579B">
        <w:t>).</w:t>
      </w:r>
    </w:p>
    <w:p w:rsidR="00E6037A" w:rsidRPr="00C4579B" w:rsidRDefault="00E6037A" w:rsidP="00D36C98">
      <w:pPr>
        <w:spacing w:after="360" w:line="360" w:lineRule="auto"/>
        <w:jc w:val="both"/>
      </w:pPr>
    </w:p>
    <w:p w:rsidR="00704753" w:rsidRPr="00C4579B" w:rsidRDefault="00D93D42" w:rsidP="00D36C98">
      <w:pPr>
        <w:pStyle w:val="Title"/>
        <w:spacing w:before="0" w:after="360" w:line="360" w:lineRule="auto"/>
        <w:jc w:val="left"/>
        <w:rPr>
          <w:rFonts w:ascii="Times New Roman" w:hAnsi="Times New Roman"/>
          <w:sz w:val="24"/>
          <w:szCs w:val="24"/>
        </w:rPr>
      </w:pPr>
      <w:r w:rsidRPr="00C4579B">
        <w:rPr>
          <w:rFonts w:ascii="Times New Roman" w:hAnsi="Times New Roman"/>
          <w:sz w:val="24"/>
          <w:szCs w:val="24"/>
        </w:rPr>
        <w:t xml:space="preserve">Feminism </w:t>
      </w:r>
      <w:r w:rsidR="00242157" w:rsidRPr="00C4579B">
        <w:rPr>
          <w:rFonts w:ascii="Times New Roman" w:hAnsi="Times New Roman"/>
          <w:sz w:val="24"/>
          <w:szCs w:val="24"/>
        </w:rPr>
        <w:t>Challenging Universalism</w:t>
      </w:r>
    </w:p>
    <w:p w:rsidR="00704753" w:rsidRPr="00C4579B" w:rsidRDefault="00704753" w:rsidP="00D36C98">
      <w:pPr>
        <w:spacing w:after="360" w:line="360" w:lineRule="auto"/>
        <w:jc w:val="both"/>
      </w:pPr>
      <w:r w:rsidRPr="00C4579B">
        <w:t>In social research the Swedish welfare state is often described as universalistic</w:t>
      </w:r>
      <w:r w:rsidR="00881C67" w:rsidRPr="00C4579B">
        <w:t>,</w:t>
      </w:r>
      <w:r w:rsidRPr="00C4579B">
        <w:t xml:space="preserve"> with comprehensive citizenship entitlements to social benefits and services, generous benefit levels, communitarian funding of welfare state provisions through taxation, egalitarian redistribution</w:t>
      </w:r>
      <w:r w:rsidR="00881C67" w:rsidRPr="00C4579B">
        <w:t>,</w:t>
      </w:r>
      <w:r w:rsidRPr="00C4579B">
        <w:t xml:space="preserve"> and a major commitme</w:t>
      </w:r>
      <w:r w:rsidR="00774E7E" w:rsidRPr="00C4579B">
        <w:t xml:space="preserve">nt to full employment. Another </w:t>
      </w:r>
      <w:r w:rsidR="000561E4" w:rsidRPr="00C4579B">
        <w:t xml:space="preserve">important </w:t>
      </w:r>
      <w:r w:rsidRPr="00C4579B">
        <w:t>characteristic is that entitlements to services and benefits are based on citizenship</w:t>
      </w:r>
      <w:r w:rsidR="00881C67" w:rsidRPr="00C4579B">
        <w:t>, such that t</w:t>
      </w:r>
      <w:r w:rsidRPr="00C4579B">
        <w:t xml:space="preserve">he communitarian funding of social welfare reflects and reinforces the idea of social citizenship (Sainsbury 1996:31–32). Universalism is </w:t>
      </w:r>
      <w:r w:rsidR="00881C67" w:rsidRPr="00C4579B">
        <w:t xml:space="preserve">thus </w:t>
      </w:r>
      <w:r w:rsidRPr="00C4579B">
        <w:t xml:space="preserve">often considered a dominant feature of the modern Swedish welfare state, and it has been described as resting </w:t>
      </w:r>
      <w:r w:rsidR="00881C67" w:rsidRPr="00C4579B">
        <w:t>up</w:t>
      </w:r>
      <w:r w:rsidRPr="00C4579B">
        <w:t xml:space="preserve">on two fundamental and mutually reinforcing principles – the universal idea of citizenship based </w:t>
      </w:r>
      <w:r w:rsidR="000561E4" w:rsidRPr="00C4579B">
        <w:t xml:space="preserve">on </w:t>
      </w:r>
      <w:r w:rsidR="00246B1C" w:rsidRPr="00C4579B">
        <w:t>social rights and the normalit</w:t>
      </w:r>
      <w:r w:rsidRPr="00C4579B">
        <w:t>y of wage</w:t>
      </w:r>
      <w:r w:rsidR="00881C67" w:rsidRPr="00C4579B">
        <w:t>d</w:t>
      </w:r>
      <w:r w:rsidRPr="00C4579B">
        <w:t xml:space="preserve"> work (</w:t>
      </w:r>
      <w:proofErr w:type="spellStart"/>
      <w:r w:rsidRPr="00C4579B">
        <w:t>Kettunen</w:t>
      </w:r>
      <w:proofErr w:type="spellEnd"/>
      <w:r w:rsidRPr="00C4579B">
        <w:t xml:space="preserve"> 2006:60). From a </w:t>
      </w:r>
      <w:r w:rsidR="007F2B63" w:rsidRPr="00C4579B">
        <w:t xml:space="preserve">feminist </w:t>
      </w:r>
      <w:r w:rsidRPr="00C4579B">
        <w:t xml:space="preserve">point of view this idealistic description is </w:t>
      </w:r>
      <w:r w:rsidR="00774E7E" w:rsidRPr="00C4579B">
        <w:t xml:space="preserve">neither </w:t>
      </w:r>
      <w:r w:rsidRPr="00C4579B">
        <w:t xml:space="preserve">obvious nor </w:t>
      </w:r>
      <w:r w:rsidR="00774E7E" w:rsidRPr="00C4579B">
        <w:t>self-</w:t>
      </w:r>
      <w:r w:rsidRPr="00C4579B">
        <w:t xml:space="preserve">evident. Throughout the history of the </w:t>
      </w:r>
      <w:r w:rsidR="008D4C4D" w:rsidRPr="00C4579B">
        <w:t xml:space="preserve">Swedish </w:t>
      </w:r>
      <w:r w:rsidRPr="00C4579B">
        <w:t xml:space="preserve">welfare state, the principles of universalism have constantly been supplemented </w:t>
      </w:r>
      <w:r w:rsidR="00D76F3D" w:rsidRPr="00C4579B">
        <w:t>with</w:t>
      </w:r>
      <w:r w:rsidRPr="00C4579B">
        <w:t xml:space="preserve"> various group specific measures (Christiansen &amp; </w:t>
      </w:r>
      <w:proofErr w:type="spellStart"/>
      <w:r w:rsidRPr="00C4579B">
        <w:t>Markkola</w:t>
      </w:r>
      <w:proofErr w:type="spellEnd"/>
      <w:r w:rsidRPr="00C4579B">
        <w:t xml:space="preserve"> 2006:22).</w:t>
      </w:r>
      <w:r w:rsidR="004925E1" w:rsidRPr="00C4579B">
        <w:t xml:space="preserve"> This </w:t>
      </w:r>
      <w:r w:rsidR="00774E7E" w:rsidRPr="00C4579B">
        <w:t xml:space="preserve">has led to a degree </w:t>
      </w:r>
      <w:r w:rsidR="00774E7E" w:rsidRPr="00C4579B">
        <w:lastRenderedPageBreak/>
        <w:t xml:space="preserve">of </w:t>
      </w:r>
      <w:r w:rsidR="004925E1" w:rsidRPr="00C4579B">
        <w:t xml:space="preserve">complexity </w:t>
      </w:r>
      <w:r w:rsidR="00774E7E" w:rsidRPr="00C4579B">
        <w:t xml:space="preserve">that </w:t>
      </w:r>
      <w:r w:rsidR="004925E1" w:rsidRPr="00C4579B">
        <w:t>becomes visible</w:t>
      </w:r>
      <w:r w:rsidRPr="00C4579B">
        <w:t xml:space="preserve"> when</w:t>
      </w:r>
      <w:r w:rsidR="00222896" w:rsidRPr="00C4579B">
        <w:t xml:space="preserve"> one, for example,</w:t>
      </w:r>
      <w:r w:rsidRPr="00C4579B">
        <w:t xml:space="preserve"> observ</w:t>
      </w:r>
      <w:r w:rsidR="00222896" w:rsidRPr="00C4579B">
        <w:t>es</w:t>
      </w:r>
      <w:r w:rsidRPr="00C4579B">
        <w:t xml:space="preserve"> compensatory services aimed at increasing participation in societ</w:t>
      </w:r>
      <w:r w:rsidR="009A49A3" w:rsidRPr="00C4579B">
        <w:t xml:space="preserve">y for people with disabilities, </w:t>
      </w:r>
      <w:r w:rsidR="008D4C4D" w:rsidRPr="00C4579B">
        <w:t xml:space="preserve">such </w:t>
      </w:r>
      <w:r w:rsidR="00774E7E" w:rsidRPr="00C4579B">
        <w:t xml:space="preserve">as </w:t>
      </w:r>
      <w:r w:rsidR="009A49A3" w:rsidRPr="00C4579B">
        <w:t>special transport services.</w:t>
      </w:r>
    </w:p>
    <w:p w:rsidR="005945A0" w:rsidRPr="00C4579B" w:rsidRDefault="00704753" w:rsidP="00D36C98">
      <w:pPr>
        <w:spacing w:after="360" w:line="360" w:lineRule="auto"/>
        <w:jc w:val="both"/>
      </w:pPr>
      <w:r w:rsidRPr="00C4579B">
        <w:t xml:space="preserve">Rather than </w:t>
      </w:r>
      <w:r w:rsidR="00774E7E" w:rsidRPr="00C4579B">
        <w:t xml:space="preserve">being </w:t>
      </w:r>
      <w:r w:rsidRPr="00C4579B">
        <w:t xml:space="preserve">universally available, access to services or benefits </w:t>
      </w:r>
      <w:r w:rsidR="00774E7E" w:rsidRPr="00C4579B">
        <w:t xml:space="preserve">from </w:t>
      </w:r>
      <w:r w:rsidRPr="00C4579B">
        <w:t xml:space="preserve">the welfare state is governed by criteria determining which claims and needs are legitimate and which are not. The distribution of resources and access to services is </w:t>
      </w:r>
      <w:r w:rsidR="00F459CE" w:rsidRPr="00C4579B">
        <w:t>based on</w:t>
      </w:r>
      <w:r w:rsidRPr="00C4579B">
        <w:t xml:space="preserve"> the dominant political conception of justice that forms the basis for the social construction of normality (</w:t>
      </w:r>
      <w:r w:rsidR="00DF39CD" w:rsidRPr="00C4579B">
        <w:t>Sainsbury 1999</w:t>
      </w:r>
      <w:r w:rsidR="009A49A3" w:rsidRPr="00C4579B">
        <w:t>)</w:t>
      </w:r>
      <w:r w:rsidR="00F459CE" w:rsidRPr="00C4579B">
        <w:t>. A</w:t>
      </w:r>
      <w:r w:rsidR="009A49A3" w:rsidRPr="00C4579B">
        <w:t xml:space="preserve">ccess </w:t>
      </w:r>
      <w:r w:rsidR="00F459CE" w:rsidRPr="00C4579B">
        <w:t xml:space="preserve">to services </w:t>
      </w:r>
      <w:r w:rsidRPr="00C4579B">
        <w:t xml:space="preserve">thus tends to be governed by criteria </w:t>
      </w:r>
      <w:r w:rsidR="00F459CE" w:rsidRPr="00C4579B">
        <w:t xml:space="preserve">rooted </w:t>
      </w:r>
      <w:r w:rsidRPr="00C4579B">
        <w:t>in perceptions of normality</w:t>
      </w:r>
      <w:r w:rsidR="00853E26" w:rsidRPr="00C4579B">
        <w:t xml:space="preserve"> (</w:t>
      </w:r>
      <w:r w:rsidR="001A033B" w:rsidRPr="00C4579B">
        <w:t>Gunnarsson 2007</w:t>
      </w:r>
      <w:r w:rsidR="00853E26" w:rsidRPr="00C4579B">
        <w:t>:194)</w:t>
      </w:r>
      <w:r w:rsidRPr="00C4579B">
        <w:t>. From a theoretical and individual perspective these l</w:t>
      </w:r>
      <w:r w:rsidR="00FD6593" w:rsidRPr="00C4579B">
        <w:t>egal criteria, together with</w:t>
      </w:r>
      <w:r w:rsidRPr="00C4579B">
        <w:t xml:space="preserve"> individual rights and obligations</w:t>
      </w:r>
      <w:r w:rsidR="00F00546" w:rsidRPr="00C4579B">
        <w:t>,</w:t>
      </w:r>
      <w:r w:rsidRPr="00C4579B">
        <w:t xml:space="preserve"> form a qualification process where normality is ar</w:t>
      </w:r>
      <w:r w:rsidR="00B56A1E" w:rsidRPr="00C4579B">
        <w:t>ticulated (</w:t>
      </w:r>
      <w:proofErr w:type="spellStart"/>
      <w:r w:rsidR="00B56A1E" w:rsidRPr="00C4579B">
        <w:t>Wennberg</w:t>
      </w:r>
      <w:proofErr w:type="spellEnd"/>
      <w:r w:rsidR="00B56A1E" w:rsidRPr="00C4579B">
        <w:t xml:space="preserve"> </w:t>
      </w:r>
      <w:r w:rsidR="00340903" w:rsidRPr="00C4579B">
        <w:t>2008</w:t>
      </w:r>
      <w:r w:rsidR="00B56A1E" w:rsidRPr="00C4579B">
        <w:t>,</w:t>
      </w:r>
      <w:r w:rsidRPr="00C4579B">
        <w:t xml:space="preserve"> </w:t>
      </w:r>
      <w:r w:rsidR="001A033B" w:rsidRPr="00C4579B">
        <w:t>Gunnarsson 2007</w:t>
      </w:r>
      <w:r w:rsidRPr="00C4579B">
        <w:t>:192</w:t>
      </w:r>
      <w:bookmarkStart w:id="0" w:name="OLE_LINK1"/>
      <w:bookmarkStart w:id="1" w:name="OLE_LINK2"/>
      <w:r w:rsidRPr="00C4579B">
        <w:t>–</w:t>
      </w:r>
      <w:bookmarkEnd w:id="0"/>
      <w:bookmarkEnd w:id="1"/>
      <w:r w:rsidRPr="00C4579B">
        <w:t>196</w:t>
      </w:r>
      <w:r w:rsidR="00340903" w:rsidRPr="00C4579B">
        <w:t>, Gunnarsson &amp; Svensson 2009:220</w:t>
      </w:r>
      <w:r w:rsidRPr="00C4579B">
        <w:t xml:space="preserve">). From the viewpoint of a feminist legal analysis the process of getting access to services – such as for instance </w:t>
      </w:r>
      <w:r w:rsidR="00B56A1E" w:rsidRPr="00C4579B">
        <w:t xml:space="preserve">the </w:t>
      </w:r>
      <w:r w:rsidRPr="00C4579B">
        <w:t>speci</w:t>
      </w:r>
      <w:r w:rsidR="005B7BE1" w:rsidRPr="00C4579B">
        <w:t>al transport services – is not ‘</w:t>
      </w:r>
      <w:r w:rsidRPr="00C4579B">
        <w:t>universal</w:t>
      </w:r>
      <w:r w:rsidR="005B7BE1" w:rsidRPr="00C4579B">
        <w:t>’</w:t>
      </w:r>
      <w:r w:rsidRPr="00C4579B">
        <w:t xml:space="preserve"> at all. </w:t>
      </w:r>
      <w:r w:rsidR="00B56A1E" w:rsidRPr="00C4579B">
        <w:t>Access to specific services or benefits requires that individuals be constructed as worthy enough, or sufficiently needy, in order to be included in the right category and thus deemed eligible. In effect</w:t>
      </w:r>
      <w:r w:rsidRPr="00C4579B">
        <w:t xml:space="preserve">, the law constructs </w:t>
      </w:r>
      <w:r w:rsidR="00B56A1E" w:rsidRPr="00C4579B">
        <w:t>people through this</w:t>
      </w:r>
      <w:r w:rsidR="002F127B" w:rsidRPr="00C4579B">
        <w:t xml:space="preserve"> qualification process</w:t>
      </w:r>
      <w:r w:rsidR="00B56A1E" w:rsidRPr="00C4579B">
        <w:t>. This</w:t>
      </w:r>
      <w:r w:rsidR="00E26C8F" w:rsidRPr="00C4579B">
        <w:t xml:space="preserve"> process of</w:t>
      </w:r>
      <w:r w:rsidR="00A90ED2" w:rsidRPr="00C4579B">
        <w:t xml:space="preserve"> construction and</w:t>
      </w:r>
      <w:r w:rsidR="00B56A1E" w:rsidRPr="00C4579B">
        <w:t xml:space="preserve"> categorization</w:t>
      </w:r>
      <w:r w:rsidR="00A90ED2" w:rsidRPr="00C4579B">
        <w:t xml:space="preserve"> operates according to the logic of separation.</w:t>
      </w:r>
      <w:r w:rsidR="00060954" w:rsidRPr="00C4579B">
        <w:t xml:space="preserve"> With this logic the </w:t>
      </w:r>
      <w:r w:rsidR="00341AA2" w:rsidRPr="00C4579B">
        <w:t xml:space="preserve">creation of distinctive </w:t>
      </w:r>
      <w:r w:rsidR="00A45F69" w:rsidRPr="00C4579B">
        <w:t xml:space="preserve">legal </w:t>
      </w:r>
      <w:r w:rsidR="00341AA2" w:rsidRPr="00C4579B">
        <w:t xml:space="preserve">categories, often in the form of dichotomies, </w:t>
      </w:r>
      <w:r w:rsidR="003350D0" w:rsidRPr="00C4579B">
        <w:t xml:space="preserve">also </w:t>
      </w:r>
      <w:r w:rsidR="00A45F69" w:rsidRPr="00C4579B">
        <w:t xml:space="preserve">creates </w:t>
      </w:r>
      <w:r w:rsidR="003350D0" w:rsidRPr="00C4579B">
        <w:t>dual</w:t>
      </w:r>
      <w:r w:rsidR="00A45F69" w:rsidRPr="00C4579B">
        <w:t xml:space="preserve"> </w:t>
      </w:r>
      <w:r w:rsidR="006D7B8E" w:rsidRPr="00C4579B">
        <w:t>normalities (Svensson 1</w:t>
      </w:r>
      <w:r w:rsidR="00C73B7F" w:rsidRPr="00C4579B">
        <w:t>997:</w:t>
      </w:r>
      <w:r w:rsidR="006D7B8E" w:rsidRPr="00C4579B">
        <w:t>53–69).</w:t>
      </w:r>
      <w:r w:rsidR="003350D0" w:rsidRPr="00C4579B">
        <w:t xml:space="preserve"> The dual</w:t>
      </w:r>
      <w:r w:rsidR="00FB2B4A" w:rsidRPr="00C4579B">
        <w:t xml:space="preserve"> normalities</w:t>
      </w:r>
      <w:r w:rsidR="003350D0" w:rsidRPr="00C4579B">
        <w:t xml:space="preserve"> typically have different characteristics. The</w:t>
      </w:r>
      <w:r w:rsidR="00FB2B4A" w:rsidRPr="00C4579B">
        <w:t xml:space="preserve"> normality constructed for eligibility to services is sometimes described in some detail, particularly with regards to bodily or mental malfunctions. An example of this is when the law describes enduring mobility impairments causing considerable difficulties when getting on and off, paying, sitting and standing onboard vehicles in the general public transport system. The other constructed </w:t>
      </w:r>
      <w:r w:rsidR="005945A0" w:rsidRPr="00C4579B">
        <w:t>normality, people</w:t>
      </w:r>
      <w:r w:rsidR="00FB2B4A" w:rsidRPr="00C4579B">
        <w:t xml:space="preserve"> who are not eligible for services, is however often not described explicitly</w:t>
      </w:r>
      <w:r w:rsidR="005945A0" w:rsidRPr="00C4579B">
        <w:t xml:space="preserve"> at all, but </w:t>
      </w:r>
      <w:r w:rsidR="00E04D5E" w:rsidRPr="00C4579B">
        <w:t>rather</w:t>
      </w:r>
      <w:r w:rsidR="005945A0" w:rsidRPr="00C4579B">
        <w:t xml:space="preserve"> </w:t>
      </w:r>
      <w:r w:rsidR="00FB2B4A" w:rsidRPr="00C4579B">
        <w:t>implied</w:t>
      </w:r>
      <w:r w:rsidR="005945A0" w:rsidRPr="00C4579B">
        <w:t xml:space="preserve"> by all the things it is</w:t>
      </w:r>
      <w:r w:rsidR="00FB2B4A" w:rsidRPr="00C4579B">
        <w:t xml:space="preserve"> not. In the example above</w:t>
      </w:r>
      <w:r w:rsidR="00E04D5E" w:rsidRPr="00C4579B">
        <w:t>,</w:t>
      </w:r>
      <w:r w:rsidR="00FB2B4A" w:rsidRPr="00C4579B">
        <w:t xml:space="preserve"> th</w:t>
      </w:r>
      <w:r w:rsidR="00E04D5E" w:rsidRPr="00C4579B">
        <w:t>e non-eligible</w:t>
      </w:r>
      <w:r w:rsidR="00FB2B4A" w:rsidRPr="00C4579B">
        <w:t xml:space="preserve"> </w:t>
      </w:r>
      <w:r w:rsidR="005945A0" w:rsidRPr="00C4579B">
        <w:t xml:space="preserve">normality </w:t>
      </w:r>
      <w:r w:rsidR="00FB2B4A" w:rsidRPr="00C4579B">
        <w:t>would</w:t>
      </w:r>
      <w:r w:rsidR="00E04D5E" w:rsidRPr="00C4579B">
        <w:t>,</w:t>
      </w:r>
      <w:r w:rsidR="005945A0" w:rsidRPr="00C4579B">
        <w:t xml:space="preserve"> for instance</w:t>
      </w:r>
      <w:r w:rsidR="00E04D5E" w:rsidRPr="00C4579B">
        <w:t>,</w:t>
      </w:r>
      <w:r w:rsidR="00FB2B4A" w:rsidRPr="00C4579B">
        <w:t xml:space="preserve"> </w:t>
      </w:r>
      <w:r w:rsidR="005945A0" w:rsidRPr="00C4579B">
        <w:t>include all people without any mobility impairments, but also for example people with quite severe mobility impairments which are not considered enduring in character</w:t>
      </w:r>
      <w:r w:rsidR="00E04D5E" w:rsidRPr="00C4579B">
        <w:t>.</w:t>
      </w:r>
    </w:p>
    <w:p w:rsidR="00704753" w:rsidRDefault="005945A0" w:rsidP="00D36C98">
      <w:pPr>
        <w:spacing w:after="360" w:line="360" w:lineRule="auto"/>
        <w:jc w:val="both"/>
      </w:pPr>
      <w:r w:rsidRPr="00C4579B">
        <w:t xml:space="preserve">Feminist legal scholars have shown </w:t>
      </w:r>
      <w:r w:rsidR="00340903" w:rsidRPr="00C4579B">
        <w:t>not only</w:t>
      </w:r>
      <w:r w:rsidR="003F4878" w:rsidRPr="00C4579B">
        <w:t xml:space="preserve"> </w:t>
      </w:r>
      <w:r w:rsidRPr="00C4579B">
        <w:t xml:space="preserve">how </w:t>
      </w:r>
      <w:r w:rsidR="003B78F1" w:rsidRPr="00C4579B">
        <w:t>such</w:t>
      </w:r>
      <w:r w:rsidRPr="00C4579B">
        <w:t xml:space="preserve"> ongoing construction of normalities</w:t>
      </w:r>
      <w:r w:rsidR="003F4878" w:rsidRPr="00C4579B">
        <w:t xml:space="preserve"> </w:t>
      </w:r>
      <w:r w:rsidR="00E24562" w:rsidRPr="00C4579B">
        <w:t>undermines</w:t>
      </w:r>
      <w:r w:rsidRPr="00C4579B">
        <w:t xml:space="preserve"> the perceived universalism of the Swedish welfare </w:t>
      </w:r>
      <w:r w:rsidR="00E24562" w:rsidRPr="00C4579B">
        <w:t>state</w:t>
      </w:r>
      <w:r w:rsidR="007E0CC7" w:rsidRPr="00C4579B">
        <w:t>,</w:t>
      </w:r>
      <w:r w:rsidR="003F4878" w:rsidRPr="00C4579B">
        <w:t xml:space="preserve"> </w:t>
      </w:r>
      <w:r w:rsidR="00340903" w:rsidRPr="00C4579B">
        <w:t>but</w:t>
      </w:r>
      <w:r w:rsidR="003F4878" w:rsidRPr="00C4579B">
        <w:t xml:space="preserve"> also how it undermines</w:t>
      </w:r>
      <w:r w:rsidRPr="00C4579B">
        <w:t xml:space="preserve"> the perception of </w:t>
      </w:r>
      <w:r w:rsidR="00E24562" w:rsidRPr="00C4579B">
        <w:t xml:space="preserve">access </w:t>
      </w:r>
      <w:r w:rsidR="003F4878" w:rsidRPr="00C4579B">
        <w:t xml:space="preserve">to social entitlements as </w:t>
      </w:r>
      <w:r w:rsidR="007E0CC7" w:rsidRPr="00C4579B">
        <w:t xml:space="preserve">being </w:t>
      </w:r>
      <w:r w:rsidR="00340903" w:rsidRPr="00C4579B">
        <w:t xml:space="preserve">either </w:t>
      </w:r>
      <w:r w:rsidR="007E0CC7" w:rsidRPr="00C4579B">
        <w:t>‘</w:t>
      </w:r>
      <w:r w:rsidR="003F4878" w:rsidRPr="00C4579B">
        <w:t>needs based</w:t>
      </w:r>
      <w:r w:rsidR="007E0CC7" w:rsidRPr="00C4579B">
        <w:t>’</w:t>
      </w:r>
      <w:r w:rsidR="003F4878" w:rsidRPr="00C4579B">
        <w:t xml:space="preserve">, that </w:t>
      </w:r>
      <w:r w:rsidR="003F4878" w:rsidRPr="00C4579B">
        <w:lastRenderedPageBreak/>
        <w:t xml:space="preserve">is, available to anyone who has a need for assistance </w:t>
      </w:r>
      <w:r w:rsidR="00340903" w:rsidRPr="00C4579B">
        <w:t xml:space="preserve">or services or </w:t>
      </w:r>
      <w:r w:rsidR="007E0CC7" w:rsidRPr="00C4579B">
        <w:t>‘</w:t>
      </w:r>
      <w:r w:rsidR="00340903" w:rsidRPr="00C4579B">
        <w:t>residence based</w:t>
      </w:r>
      <w:r w:rsidR="007E0CC7" w:rsidRPr="00C4579B">
        <w:t>’</w:t>
      </w:r>
      <w:r w:rsidR="00340903" w:rsidRPr="00C4579B">
        <w:t>, that is, available to</w:t>
      </w:r>
      <w:r w:rsidR="00436B65" w:rsidRPr="00C4579B">
        <w:t xml:space="preserve"> anyone residing in the country. </w:t>
      </w:r>
      <w:r w:rsidR="00340903" w:rsidRPr="00C4579B">
        <w:t xml:space="preserve">Rather, </w:t>
      </w:r>
      <w:r w:rsidR="00246B1C" w:rsidRPr="00C4579B">
        <w:t xml:space="preserve">the </w:t>
      </w:r>
      <w:r w:rsidR="007E0CC7" w:rsidRPr="00C4579B">
        <w:t>ongoing constructions of normalities in</w:t>
      </w:r>
      <w:r w:rsidR="00246B1C" w:rsidRPr="00C4579B">
        <w:t xml:space="preserve"> Swedish welfare state </w:t>
      </w:r>
      <w:r w:rsidR="007E0CC7" w:rsidRPr="00C4579B">
        <w:t xml:space="preserve">law </w:t>
      </w:r>
      <w:r w:rsidR="00246B1C" w:rsidRPr="00C4579B">
        <w:t xml:space="preserve">can be understood as </w:t>
      </w:r>
      <w:r w:rsidR="00436B65" w:rsidRPr="00C4579B">
        <w:t xml:space="preserve">defining a social citizenship </w:t>
      </w:r>
      <w:r w:rsidR="005B7BE1" w:rsidRPr="00C4579B">
        <w:t>in</w:t>
      </w:r>
      <w:r w:rsidR="00436B65" w:rsidRPr="00C4579B">
        <w:t xml:space="preserve"> law (</w:t>
      </w:r>
      <w:r w:rsidR="00615817" w:rsidRPr="00C4579B">
        <w:t xml:space="preserve">Gunnarsson </w:t>
      </w:r>
      <w:r w:rsidR="00436B65" w:rsidRPr="00C4579B">
        <w:t xml:space="preserve">2003, Gunnarsson 2007:192–200, </w:t>
      </w:r>
      <w:proofErr w:type="spellStart"/>
      <w:r w:rsidR="00436B65" w:rsidRPr="00C4579B">
        <w:t>Wennberg</w:t>
      </w:r>
      <w:proofErr w:type="spellEnd"/>
      <w:r w:rsidR="00436B65" w:rsidRPr="00C4579B">
        <w:t xml:space="preserve"> 2008).</w:t>
      </w:r>
      <w:r w:rsidR="005B7BE1" w:rsidRPr="00C4579B">
        <w:t xml:space="preserve"> On the individual level, this social citizenship in law provides a complex web of inclusion in, or exclusion from, different normalities.</w:t>
      </w:r>
      <w:r w:rsidR="008B7494" w:rsidRPr="00C4579B">
        <w:t xml:space="preserve"> As we shall see </w:t>
      </w:r>
      <w:r w:rsidR="002410FB" w:rsidRPr="00C4579B">
        <w:t xml:space="preserve">below, </w:t>
      </w:r>
      <w:r w:rsidR="008B7494" w:rsidRPr="00C4579B">
        <w:t>through the example of special transport law, this social citizenship in law</w:t>
      </w:r>
      <w:r w:rsidR="005B7BE1" w:rsidRPr="00C4579B">
        <w:t xml:space="preserve"> creates </w:t>
      </w:r>
      <w:r w:rsidR="002410FB" w:rsidRPr="00C4579B">
        <w:t xml:space="preserve">by itself </w:t>
      </w:r>
      <w:r w:rsidR="005B7BE1" w:rsidRPr="00C4579B">
        <w:t xml:space="preserve">a complicated </w:t>
      </w:r>
      <w:r w:rsidR="002410FB" w:rsidRPr="00C4579B">
        <w:t>dichotomy</w:t>
      </w:r>
      <w:r w:rsidR="005B7BE1" w:rsidRPr="00C4579B">
        <w:t xml:space="preserve"> of </w:t>
      </w:r>
      <w:r w:rsidR="008B7494" w:rsidRPr="00C4579B">
        <w:t>dependency and autonomy</w:t>
      </w:r>
      <w:r w:rsidR="005B7BE1" w:rsidRPr="00C4579B">
        <w:t xml:space="preserve"> </w:t>
      </w:r>
      <w:r w:rsidR="008B7494" w:rsidRPr="00C4579B">
        <w:t xml:space="preserve">in the welfare state. </w:t>
      </w:r>
    </w:p>
    <w:p w:rsidR="00D36C98" w:rsidRPr="00C4579B" w:rsidRDefault="00D36C98" w:rsidP="00D36C98">
      <w:pPr>
        <w:spacing w:after="360" w:line="360" w:lineRule="auto"/>
        <w:jc w:val="both"/>
      </w:pPr>
    </w:p>
    <w:p w:rsidR="00B56A1E" w:rsidRPr="00C4579B" w:rsidRDefault="00B62C95" w:rsidP="00D36C98">
      <w:pPr>
        <w:pStyle w:val="Title"/>
        <w:spacing w:before="0" w:after="360" w:line="360" w:lineRule="auto"/>
        <w:jc w:val="left"/>
        <w:rPr>
          <w:rFonts w:ascii="Times New Roman" w:hAnsi="Times New Roman"/>
          <w:sz w:val="24"/>
          <w:szCs w:val="24"/>
        </w:rPr>
      </w:pPr>
      <w:r w:rsidRPr="00C4579B">
        <w:rPr>
          <w:rFonts w:ascii="Times New Roman" w:hAnsi="Times New Roman"/>
          <w:sz w:val="24"/>
          <w:szCs w:val="24"/>
        </w:rPr>
        <w:t>A Feminist Understanding of the Swedish Welfare State</w:t>
      </w:r>
    </w:p>
    <w:p w:rsidR="00B62C95" w:rsidRPr="00C4579B" w:rsidRDefault="00070358" w:rsidP="00D36C98">
      <w:pPr>
        <w:spacing w:after="360" w:line="360" w:lineRule="auto"/>
        <w:jc w:val="both"/>
      </w:pPr>
      <w:r w:rsidRPr="00C4579B">
        <w:t xml:space="preserve">The </w:t>
      </w:r>
      <w:r w:rsidR="00704753" w:rsidRPr="00C4579B">
        <w:t>intersection between law and welfare state rationality is central to the understanding o</w:t>
      </w:r>
      <w:r w:rsidR="00F8168E" w:rsidRPr="00C4579B">
        <w:t>f feminism</w:t>
      </w:r>
      <w:r w:rsidR="006B2259" w:rsidRPr="00C4579B">
        <w:t xml:space="preserve"> in a</w:t>
      </w:r>
      <w:r w:rsidR="00704753" w:rsidRPr="00C4579B">
        <w:t xml:space="preserve"> Swedish context. The compr</w:t>
      </w:r>
      <w:r w:rsidR="003B78F1" w:rsidRPr="00C4579B">
        <w:t>ehensive welfare state is</w:t>
      </w:r>
      <w:r w:rsidR="00704753" w:rsidRPr="00C4579B">
        <w:t xml:space="preserve"> important because of its</w:t>
      </w:r>
      <w:r w:rsidR="003B78F1" w:rsidRPr="00C4579B">
        <w:t xml:space="preserve"> huge</w:t>
      </w:r>
      <w:r w:rsidR="00704753" w:rsidRPr="00C4579B">
        <w:t xml:space="preserve"> influence on the material conditions of life in Swedish society (Gunnarsson et al 2007:9–10). </w:t>
      </w:r>
      <w:r w:rsidR="00C269BC" w:rsidRPr="00C4579B">
        <w:t>In f</w:t>
      </w:r>
      <w:r w:rsidR="00753556" w:rsidRPr="00C4579B">
        <w:t xml:space="preserve">eminist </w:t>
      </w:r>
      <w:r w:rsidR="006B2259" w:rsidRPr="00C4579B">
        <w:t>analyses</w:t>
      </w:r>
      <w:r w:rsidR="00753556" w:rsidRPr="00C4579B">
        <w:t xml:space="preserve"> </w:t>
      </w:r>
      <w:r w:rsidR="00C269BC" w:rsidRPr="00C4579B">
        <w:t xml:space="preserve">the </w:t>
      </w:r>
      <w:r w:rsidR="003B78F1" w:rsidRPr="00C4579B">
        <w:t>structure</w:t>
      </w:r>
      <w:r w:rsidR="00753556" w:rsidRPr="00C4579B">
        <w:t xml:space="preserve"> of t</w:t>
      </w:r>
      <w:r w:rsidR="00704753" w:rsidRPr="00C4579B">
        <w:t>he modern welfa</w:t>
      </w:r>
      <w:r w:rsidR="00753556" w:rsidRPr="00C4579B">
        <w:t xml:space="preserve">re state </w:t>
      </w:r>
      <w:r w:rsidR="00C269BC" w:rsidRPr="00C4579B">
        <w:t>ha</w:t>
      </w:r>
      <w:r w:rsidR="00D76F3D" w:rsidRPr="00C4579B">
        <w:t>s</w:t>
      </w:r>
      <w:r w:rsidR="00C269BC" w:rsidRPr="00C4579B">
        <w:t xml:space="preserve"> been described </w:t>
      </w:r>
      <w:r w:rsidR="000D3A1F" w:rsidRPr="00C4579B">
        <w:t xml:space="preserve">through the </w:t>
      </w:r>
      <w:r w:rsidR="00704753" w:rsidRPr="00C4579B">
        <w:t xml:space="preserve">concepts of </w:t>
      </w:r>
      <w:r w:rsidR="001951C6" w:rsidRPr="00C4579B">
        <w:t>‘</w:t>
      </w:r>
      <w:r w:rsidR="00704753" w:rsidRPr="00C4579B">
        <w:t>the social insurance state</w:t>
      </w:r>
      <w:r w:rsidR="001951C6" w:rsidRPr="00C4579B">
        <w:t>’</w:t>
      </w:r>
      <w:r w:rsidR="00704753" w:rsidRPr="00C4579B">
        <w:t xml:space="preserve"> and </w:t>
      </w:r>
      <w:r w:rsidR="001951C6" w:rsidRPr="00C4579B">
        <w:t>‘</w:t>
      </w:r>
      <w:r w:rsidR="00D2330F" w:rsidRPr="00C4579B">
        <w:t xml:space="preserve">the </w:t>
      </w:r>
      <w:r w:rsidR="00704753" w:rsidRPr="00C4579B">
        <w:t>social s</w:t>
      </w:r>
      <w:r w:rsidR="00753556" w:rsidRPr="00C4579B">
        <w:t>ervice state</w:t>
      </w:r>
      <w:r w:rsidR="001951C6" w:rsidRPr="00C4579B">
        <w:t>’</w:t>
      </w:r>
      <w:r w:rsidR="003B78F1" w:rsidRPr="00C4579B">
        <w:t xml:space="preserve"> (</w:t>
      </w:r>
      <w:proofErr w:type="spellStart"/>
      <w:r w:rsidR="003B78F1" w:rsidRPr="00C4579B">
        <w:t>Anttonen</w:t>
      </w:r>
      <w:proofErr w:type="spellEnd"/>
      <w:r w:rsidR="003B78F1" w:rsidRPr="00C4579B">
        <w:t xml:space="preserve"> 1997 &amp; 1998)</w:t>
      </w:r>
      <w:r w:rsidR="00704753" w:rsidRPr="00C4579B">
        <w:t>. The concept of the social insurance state refers to the welfare state structures that guarantee basic economic security for the citizens. Th</w:t>
      </w:r>
      <w:r w:rsidR="000D3A1F" w:rsidRPr="00C4579B">
        <w:t xml:space="preserve">at </w:t>
      </w:r>
      <w:r w:rsidR="00704753" w:rsidRPr="00C4579B">
        <w:t xml:space="preserve">of the social service state refers to welfare state structures that provide a </w:t>
      </w:r>
      <w:proofErr w:type="spellStart"/>
      <w:r w:rsidR="00704753" w:rsidRPr="00C4579B">
        <w:t>maternalistic</w:t>
      </w:r>
      <w:proofErr w:type="spellEnd"/>
      <w:r w:rsidR="00704753" w:rsidRPr="00C4579B">
        <w:t xml:space="preserve"> and caring social policy. As such, the social insurance state provides benefits aim</w:t>
      </w:r>
      <w:r w:rsidR="000D3A1F" w:rsidRPr="00C4579B">
        <w:t>ed</w:t>
      </w:r>
      <w:r w:rsidR="00704753" w:rsidRPr="00C4579B">
        <w:t xml:space="preserve"> at income maintenance and individual economic independence</w:t>
      </w:r>
      <w:r w:rsidR="000D3A1F" w:rsidRPr="00C4579B">
        <w:t>,</w:t>
      </w:r>
      <w:r w:rsidR="00704753" w:rsidRPr="00C4579B">
        <w:t xml:space="preserve"> while the social service state provides care and assistance in coping with daily life. </w:t>
      </w:r>
      <w:r w:rsidR="000D3A1F" w:rsidRPr="00C4579B">
        <w:t>B</w:t>
      </w:r>
      <w:r w:rsidR="00704753" w:rsidRPr="00C4579B">
        <w:t xml:space="preserve">oth </w:t>
      </w:r>
      <w:r w:rsidR="000D3A1F" w:rsidRPr="00C4579B">
        <w:t xml:space="preserve">of these </w:t>
      </w:r>
      <w:r w:rsidR="00704753" w:rsidRPr="00C4579B">
        <w:t xml:space="preserve">welfare state concepts are </w:t>
      </w:r>
      <w:r w:rsidR="000D3A1F" w:rsidRPr="00C4579B">
        <w:t xml:space="preserve">therefore </w:t>
      </w:r>
      <w:r w:rsidR="00704753" w:rsidRPr="00C4579B">
        <w:t>instrumental in establishing the boundaries of social citizen</w:t>
      </w:r>
      <w:r w:rsidR="001E3C1A" w:rsidRPr="00C4579B">
        <w:t>ship for any group which depends</w:t>
      </w:r>
      <w:r w:rsidR="00704753" w:rsidRPr="00C4579B">
        <w:t xml:space="preserve"> on welfare state benefits and ser</w:t>
      </w:r>
      <w:r w:rsidR="001E3C1A" w:rsidRPr="00C4579B">
        <w:t xml:space="preserve">vices </w:t>
      </w:r>
      <w:r w:rsidR="00704753" w:rsidRPr="00C4579B">
        <w:t>(</w:t>
      </w:r>
      <w:proofErr w:type="spellStart"/>
      <w:r w:rsidR="00704753" w:rsidRPr="00C4579B">
        <w:t>Anttonen</w:t>
      </w:r>
      <w:proofErr w:type="spellEnd"/>
      <w:r w:rsidR="00704753" w:rsidRPr="00C4579B">
        <w:t xml:space="preserve"> 1997:11–17). </w:t>
      </w:r>
    </w:p>
    <w:p w:rsidR="00B2103B" w:rsidRPr="00C4579B" w:rsidRDefault="009537F2" w:rsidP="00D36C98">
      <w:pPr>
        <w:spacing w:after="360" w:line="360" w:lineRule="auto"/>
        <w:jc w:val="both"/>
      </w:pPr>
      <w:r w:rsidRPr="00C4579B">
        <w:t>Each mode of the welfare state,</w:t>
      </w:r>
      <w:r w:rsidR="00760FEF" w:rsidRPr="00C4579B">
        <w:t xml:space="preserve"> the social insurance state and the social service state</w:t>
      </w:r>
      <w:r w:rsidRPr="00C4579B">
        <w:t xml:space="preserve">, embodies certain important legal characteristics. </w:t>
      </w:r>
      <w:r w:rsidR="00704753" w:rsidRPr="00C4579B">
        <w:t xml:space="preserve">The social insurance state </w:t>
      </w:r>
      <w:r w:rsidRPr="00C4579B">
        <w:t>rests on</w:t>
      </w:r>
      <w:r w:rsidR="00704753" w:rsidRPr="00C4579B">
        <w:t xml:space="preserve"> individual</w:t>
      </w:r>
      <w:r w:rsidR="009F2FED" w:rsidRPr="00C4579B">
        <w:t xml:space="preserve"> rights to </w:t>
      </w:r>
      <w:r w:rsidRPr="00C4579B">
        <w:t xml:space="preserve">claim </w:t>
      </w:r>
      <w:r w:rsidR="00704753" w:rsidRPr="00C4579B">
        <w:t xml:space="preserve">cash benefits </w:t>
      </w:r>
      <w:r w:rsidRPr="00C4579B">
        <w:t>in specific situations, such as</w:t>
      </w:r>
      <w:r w:rsidR="00D71B91" w:rsidRPr="00C4579B">
        <w:t xml:space="preserve"> </w:t>
      </w:r>
      <w:r w:rsidR="00704753" w:rsidRPr="00C4579B">
        <w:t xml:space="preserve">old age pension, unemployment insurance, </w:t>
      </w:r>
      <w:r w:rsidR="00BA3E55" w:rsidRPr="00C4579B">
        <w:t xml:space="preserve">or </w:t>
      </w:r>
      <w:r w:rsidR="00704753" w:rsidRPr="00C4579B">
        <w:t xml:space="preserve">sickness </w:t>
      </w:r>
      <w:r w:rsidR="00654067" w:rsidRPr="00C4579B">
        <w:t>benefit</w:t>
      </w:r>
      <w:r w:rsidR="00704753" w:rsidRPr="00C4579B">
        <w:t>, all of which are generally regulated and administered</w:t>
      </w:r>
      <w:r w:rsidR="00654067" w:rsidRPr="00C4579B">
        <w:t xml:space="preserve"> </w:t>
      </w:r>
      <w:r w:rsidR="00B11212" w:rsidRPr="00C4579B">
        <w:t xml:space="preserve">on a </w:t>
      </w:r>
      <w:r w:rsidR="00704753" w:rsidRPr="00C4579B">
        <w:t xml:space="preserve">national level. </w:t>
      </w:r>
      <w:r w:rsidR="00B11212" w:rsidRPr="00C4579B">
        <w:t xml:space="preserve">In comparison the </w:t>
      </w:r>
      <w:r w:rsidR="00704753" w:rsidRPr="00C4579B">
        <w:t xml:space="preserve">social service state emerges as decentralized and full of nuances and variations </w:t>
      </w:r>
      <w:r w:rsidR="00B11212" w:rsidRPr="00C4579B">
        <w:t>at</w:t>
      </w:r>
      <w:r w:rsidR="00704753" w:rsidRPr="00C4579B">
        <w:t xml:space="preserve"> the structural level. It is generally situated in the municipalities and </w:t>
      </w:r>
      <w:r w:rsidR="00704753" w:rsidRPr="00C4579B">
        <w:lastRenderedPageBreak/>
        <w:t>the counties</w:t>
      </w:r>
      <w:r w:rsidRPr="00C4579B">
        <w:t>,</w:t>
      </w:r>
      <w:r w:rsidR="00704753" w:rsidRPr="00C4579B">
        <w:t xml:space="preserve"> </w:t>
      </w:r>
      <w:r w:rsidRPr="00C4579B">
        <w:t>which both enjoy comprehensive</w:t>
      </w:r>
      <w:r w:rsidR="00704753" w:rsidRPr="00C4579B">
        <w:t xml:space="preserve"> </w:t>
      </w:r>
      <w:r w:rsidR="00760FEF" w:rsidRPr="00C4579B">
        <w:t xml:space="preserve">local self-governance </w:t>
      </w:r>
      <w:r w:rsidR="00704753" w:rsidRPr="00C4579B">
        <w:t xml:space="preserve">in matters of social policy and </w:t>
      </w:r>
      <w:r w:rsidRPr="00C4579B">
        <w:t xml:space="preserve">welfare </w:t>
      </w:r>
      <w:r w:rsidR="00704753" w:rsidRPr="00C4579B">
        <w:t>law</w:t>
      </w:r>
      <w:r w:rsidRPr="00C4579B">
        <w:t>. L</w:t>
      </w:r>
      <w:r w:rsidR="00B11212" w:rsidRPr="00C4579B">
        <w:t>ocal self</w:t>
      </w:r>
      <w:r w:rsidR="00647D75" w:rsidRPr="00C4579B">
        <w:t>-</w:t>
      </w:r>
      <w:r w:rsidR="00B11212" w:rsidRPr="00C4579B">
        <w:t xml:space="preserve">governance </w:t>
      </w:r>
      <w:r w:rsidR="00704753" w:rsidRPr="00C4579B">
        <w:t xml:space="preserve">is often </w:t>
      </w:r>
      <w:r w:rsidRPr="00C4579B">
        <w:t>also perceived as an important ideological value in itself, especially regarding the legitimacy of the welfare state</w:t>
      </w:r>
      <w:r w:rsidR="004B7C1B" w:rsidRPr="00C4579B">
        <w:t xml:space="preserve">. </w:t>
      </w:r>
      <w:r w:rsidR="007175E6" w:rsidRPr="00C4579B">
        <w:t>The social service</w:t>
      </w:r>
      <w:r w:rsidR="004B7C1B" w:rsidRPr="00C4579B">
        <w:t xml:space="preserve"> state</w:t>
      </w:r>
      <w:r w:rsidR="007175E6" w:rsidRPr="00C4579B">
        <w:t xml:space="preserve"> is</w:t>
      </w:r>
      <w:r w:rsidR="00B11212" w:rsidRPr="00C4579B">
        <w:t xml:space="preserve"> typically regulated by so-</w:t>
      </w:r>
      <w:r w:rsidR="00704753" w:rsidRPr="00C4579B">
        <w:t xml:space="preserve">called framework legislation where the vague and open ended language of parliament acts </w:t>
      </w:r>
      <w:r w:rsidR="00092E56" w:rsidRPr="00C4579B">
        <w:t xml:space="preserve">and national government decrees </w:t>
      </w:r>
      <w:r w:rsidR="00704753" w:rsidRPr="00C4579B">
        <w:t xml:space="preserve">serve </w:t>
      </w:r>
      <w:r w:rsidR="00B11212" w:rsidRPr="00C4579B">
        <w:t xml:space="preserve">merely </w:t>
      </w:r>
      <w:r w:rsidR="00704753" w:rsidRPr="00C4579B">
        <w:t>to establish a frame</w:t>
      </w:r>
      <w:r w:rsidR="00B11212" w:rsidRPr="00C4579B">
        <w:t>work</w:t>
      </w:r>
      <w:r w:rsidR="00704753" w:rsidRPr="00C4579B">
        <w:t xml:space="preserve"> which is then filled by administrative authorities, professions and organizations in the society. </w:t>
      </w:r>
      <w:r w:rsidR="00B11212" w:rsidRPr="00C4579B">
        <w:t xml:space="preserve">Its </w:t>
      </w:r>
      <w:r w:rsidR="00704753" w:rsidRPr="00C4579B">
        <w:t>administration is characterized by wide normative discretion exercised by the authorities</w:t>
      </w:r>
      <w:r w:rsidR="00BA3E55" w:rsidRPr="00C4579B">
        <w:t>,</w:t>
      </w:r>
      <w:r w:rsidR="00704753" w:rsidRPr="00C4579B">
        <w:t xml:space="preserve"> and the le</w:t>
      </w:r>
      <w:r w:rsidR="00092E56" w:rsidRPr="00C4579B">
        <w:t>gislation then mainly</w:t>
      </w:r>
      <w:r w:rsidR="00704753" w:rsidRPr="00C4579B">
        <w:t xml:space="preserve"> sets forth standards against which actions and activities can be measured (</w:t>
      </w:r>
      <w:proofErr w:type="spellStart"/>
      <w:r w:rsidR="00760FEF" w:rsidRPr="00C4579B">
        <w:t>Vahlne</w:t>
      </w:r>
      <w:proofErr w:type="spellEnd"/>
      <w:r w:rsidR="00760FEF" w:rsidRPr="00C4579B">
        <w:t xml:space="preserve"> </w:t>
      </w:r>
      <w:proofErr w:type="spellStart"/>
      <w:r w:rsidR="00760FEF" w:rsidRPr="00C4579B">
        <w:t>Westerhäll</w:t>
      </w:r>
      <w:proofErr w:type="spellEnd"/>
      <w:r w:rsidR="00760FEF" w:rsidRPr="00C4579B">
        <w:t xml:space="preserve"> 2002:60; </w:t>
      </w:r>
      <w:r w:rsidR="00704753" w:rsidRPr="00C4579B">
        <w:t xml:space="preserve">Gunnarsson et al 2007:7–10). </w:t>
      </w:r>
      <w:r w:rsidR="00B90F49" w:rsidRPr="00C4579B">
        <w:t>T</w:t>
      </w:r>
      <w:r w:rsidR="00704753" w:rsidRPr="00C4579B">
        <w:t>he social service state appears to be perpetually set in a borderland where normative legal patterns and patterns of social policy collide and intermingle</w:t>
      </w:r>
      <w:r w:rsidR="005C46FC" w:rsidRPr="00C4579B">
        <w:t xml:space="preserve"> (</w:t>
      </w:r>
      <w:proofErr w:type="spellStart"/>
      <w:r w:rsidR="005C46FC" w:rsidRPr="00C4579B">
        <w:t>Wennberg</w:t>
      </w:r>
      <w:proofErr w:type="spellEnd"/>
      <w:r w:rsidR="005C46FC" w:rsidRPr="00C4579B">
        <w:t xml:space="preserve"> 2008:358)</w:t>
      </w:r>
      <w:r w:rsidR="00092E56" w:rsidRPr="00C4579B">
        <w:t>. Never understood</w:t>
      </w:r>
      <w:r w:rsidR="00704753" w:rsidRPr="00C4579B">
        <w:t xml:space="preserve"> as purely legal or purely political, the law of the social service state can </w:t>
      </w:r>
      <w:r w:rsidR="00FA6516" w:rsidRPr="00C4579B">
        <w:t xml:space="preserve">thus </w:t>
      </w:r>
      <w:r w:rsidR="00704753" w:rsidRPr="00C4579B">
        <w:t>be viewed as inherently pluralist</w:t>
      </w:r>
      <w:r w:rsidR="00092E56" w:rsidRPr="00C4579B">
        <w:t>ic (</w:t>
      </w:r>
      <w:proofErr w:type="spellStart"/>
      <w:r w:rsidR="00092E56" w:rsidRPr="00C4579B">
        <w:t>Vahlne</w:t>
      </w:r>
      <w:proofErr w:type="spellEnd"/>
      <w:r w:rsidR="00092E56" w:rsidRPr="00C4579B">
        <w:t xml:space="preserve"> </w:t>
      </w:r>
      <w:proofErr w:type="spellStart"/>
      <w:r w:rsidR="00092E56" w:rsidRPr="00C4579B">
        <w:t>Westerhäll</w:t>
      </w:r>
      <w:proofErr w:type="spellEnd"/>
      <w:r w:rsidR="00092E56" w:rsidRPr="00C4579B">
        <w:t xml:space="preserve"> 2002:59). </w:t>
      </w:r>
      <w:r w:rsidR="00FF4400" w:rsidRPr="00C4579B">
        <w:t>Th</w:t>
      </w:r>
      <w:r w:rsidR="00092E56" w:rsidRPr="00C4579B">
        <w:t>is</w:t>
      </w:r>
      <w:r w:rsidR="00704753" w:rsidRPr="00C4579B">
        <w:t xml:space="preserve"> </w:t>
      </w:r>
      <w:r w:rsidR="00092E56" w:rsidRPr="00C4579B">
        <w:t>normative</w:t>
      </w:r>
      <w:r w:rsidR="00704753" w:rsidRPr="00C4579B">
        <w:t xml:space="preserve"> pluralism further complicates the already complex picture of the rationalities that govern services for people with disabilities in the social service state. It has been observed </w:t>
      </w:r>
      <w:r w:rsidR="00092E56" w:rsidRPr="00C4579B">
        <w:t xml:space="preserve">in disability research </w:t>
      </w:r>
      <w:r w:rsidR="00704753" w:rsidRPr="00C4579B">
        <w:t>t</w:t>
      </w:r>
      <w:r w:rsidR="00092E56" w:rsidRPr="00C4579B">
        <w:t>hat local economic and political</w:t>
      </w:r>
      <w:r w:rsidR="002028FF" w:rsidRPr="00C4579B">
        <w:t xml:space="preserve"> rationalities can</w:t>
      </w:r>
      <w:r w:rsidR="00704753" w:rsidRPr="00C4579B">
        <w:t xml:space="preserve"> create quite forceful norms that challenge </w:t>
      </w:r>
      <w:r w:rsidR="00392B7B" w:rsidRPr="00C4579B">
        <w:t xml:space="preserve">both </w:t>
      </w:r>
      <w:r w:rsidR="00704753" w:rsidRPr="00C4579B">
        <w:t>individual rights and municipal obligations (</w:t>
      </w:r>
      <w:proofErr w:type="spellStart"/>
      <w:r w:rsidR="00704753" w:rsidRPr="00C4579B">
        <w:t>Nordgren</w:t>
      </w:r>
      <w:proofErr w:type="spellEnd"/>
      <w:r w:rsidR="00704753" w:rsidRPr="00C4579B">
        <w:t xml:space="preserve"> 2009:18).</w:t>
      </w:r>
      <w:r w:rsidR="00FF4400" w:rsidRPr="00C4579B">
        <w:t xml:space="preserve"> </w:t>
      </w:r>
    </w:p>
    <w:p w:rsidR="00704753" w:rsidRPr="00C4579B" w:rsidRDefault="00704753" w:rsidP="00D36C98">
      <w:pPr>
        <w:spacing w:after="360" w:line="360" w:lineRule="auto"/>
        <w:jc w:val="both"/>
      </w:pPr>
    </w:p>
    <w:p w:rsidR="00704753" w:rsidRPr="00C4579B" w:rsidRDefault="00124F53" w:rsidP="00D36C98">
      <w:pPr>
        <w:pStyle w:val="Title"/>
        <w:spacing w:before="0" w:after="360" w:line="360" w:lineRule="auto"/>
        <w:jc w:val="left"/>
        <w:rPr>
          <w:rFonts w:ascii="Times New Roman" w:hAnsi="Times New Roman"/>
          <w:sz w:val="24"/>
          <w:szCs w:val="24"/>
        </w:rPr>
      </w:pPr>
      <w:r w:rsidRPr="00C4579B">
        <w:rPr>
          <w:rFonts w:ascii="Times New Roman" w:hAnsi="Times New Roman"/>
          <w:sz w:val="24"/>
          <w:szCs w:val="24"/>
        </w:rPr>
        <w:t xml:space="preserve">Disability in the Welfare State – </w:t>
      </w:r>
      <w:r w:rsidR="008E556B" w:rsidRPr="00C4579B">
        <w:rPr>
          <w:rFonts w:ascii="Times New Roman" w:hAnsi="Times New Roman"/>
          <w:sz w:val="24"/>
          <w:szCs w:val="24"/>
        </w:rPr>
        <w:t xml:space="preserve">Equal Participation in Society </w:t>
      </w:r>
    </w:p>
    <w:p w:rsidR="004D53C0" w:rsidRPr="00C4579B" w:rsidRDefault="00704753" w:rsidP="00D36C98">
      <w:pPr>
        <w:spacing w:after="360" w:line="360" w:lineRule="auto"/>
        <w:jc w:val="both"/>
      </w:pPr>
      <w:r w:rsidRPr="00C4579B">
        <w:t xml:space="preserve">Perceptions and definitions of disability have changed significantly over time. In the 1970’s the global understanding of disability experienced the so called </w:t>
      </w:r>
      <w:r w:rsidR="0096250B" w:rsidRPr="00C4579B">
        <w:t>‘</w:t>
      </w:r>
      <w:r w:rsidRPr="00C4579B">
        <w:t>environmental turn</w:t>
      </w:r>
      <w:r w:rsidR="0096250B" w:rsidRPr="00C4579B">
        <w:t>’</w:t>
      </w:r>
      <w:r w:rsidRPr="00C4579B">
        <w:t xml:space="preserve"> where the perception of disability evolved from a medical</w:t>
      </w:r>
      <w:r w:rsidR="0096250B" w:rsidRPr="00C4579B">
        <w:t>i</w:t>
      </w:r>
      <w:r w:rsidR="00BD3A63" w:rsidRPr="00C4579B">
        <w:t>z</w:t>
      </w:r>
      <w:r w:rsidR="0096250B" w:rsidRPr="00C4579B">
        <w:t>ed</w:t>
      </w:r>
      <w:r w:rsidRPr="00C4579B">
        <w:t xml:space="preserve"> </w:t>
      </w:r>
      <w:r w:rsidR="0096250B" w:rsidRPr="00C4579B">
        <w:t>characterization</w:t>
      </w:r>
      <w:r w:rsidRPr="00C4579B">
        <w:t xml:space="preserve"> of the individual to a definition located in the environment and the social and political context. Central themes in the Nordic understanding of disability may be </w:t>
      </w:r>
      <w:r w:rsidR="0096250B" w:rsidRPr="00C4579B">
        <w:t>traced back to the so-</w:t>
      </w:r>
      <w:r w:rsidRPr="00C4579B">
        <w:t xml:space="preserve">called </w:t>
      </w:r>
      <w:r w:rsidR="00CB1CB8" w:rsidRPr="00C4579B">
        <w:t>‘</w:t>
      </w:r>
      <w:r w:rsidRPr="00C4579B">
        <w:t>normalization</w:t>
      </w:r>
      <w:r w:rsidR="00BD3A63" w:rsidRPr="00C4579B">
        <w:t xml:space="preserve"> principle</w:t>
      </w:r>
      <w:r w:rsidR="00CB1CB8" w:rsidRPr="00C4579B">
        <w:t>’</w:t>
      </w:r>
      <w:r w:rsidR="00BD3A63" w:rsidRPr="00C4579B">
        <w:t xml:space="preserve"> which was formulated mainly</w:t>
      </w:r>
      <w:r w:rsidRPr="00C4579B">
        <w:t xml:space="preserve"> in the 1960’s. This </w:t>
      </w:r>
      <w:r w:rsidR="007445B2" w:rsidRPr="00C4579B">
        <w:t>principle</w:t>
      </w:r>
      <w:r w:rsidR="0064035F" w:rsidRPr="00C4579B">
        <w:t>,</w:t>
      </w:r>
      <w:r w:rsidR="007445B2" w:rsidRPr="00C4579B">
        <w:t xml:space="preserve"> </w:t>
      </w:r>
      <w:r w:rsidRPr="00C4579B">
        <w:t xml:space="preserve">built </w:t>
      </w:r>
      <w:r w:rsidR="0096250B" w:rsidRPr="00C4579B">
        <w:t>up</w:t>
      </w:r>
      <w:r w:rsidRPr="00C4579B">
        <w:t xml:space="preserve">on a </w:t>
      </w:r>
      <w:r w:rsidR="004D53C0" w:rsidRPr="00C4579B">
        <w:t xml:space="preserve">strong </w:t>
      </w:r>
      <w:r w:rsidRPr="00C4579B">
        <w:t>critique of segregation and exclusion</w:t>
      </w:r>
      <w:r w:rsidR="0064035F" w:rsidRPr="00C4579B">
        <w:t>,</w:t>
      </w:r>
      <w:r w:rsidRPr="00C4579B">
        <w:t xml:space="preserve"> embraced the idea that citizenship rights and duties should be expanded to the entire population (</w:t>
      </w:r>
      <w:proofErr w:type="spellStart"/>
      <w:r w:rsidRPr="00C4579B">
        <w:t>Traustadóttir</w:t>
      </w:r>
      <w:proofErr w:type="spellEnd"/>
      <w:r w:rsidRPr="00C4579B">
        <w:t xml:space="preserve"> 2009:12). The normalization principle took </w:t>
      </w:r>
      <w:r w:rsidR="0096250B" w:rsidRPr="00C4579B">
        <w:t xml:space="preserve">as </w:t>
      </w:r>
      <w:r w:rsidRPr="00C4579B">
        <w:t xml:space="preserve">its point of departure </w:t>
      </w:r>
      <w:r w:rsidR="0064035F" w:rsidRPr="00C4579B">
        <w:t xml:space="preserve">in </w:t>
      </w:r>
      <w:r w:rsidRPr="00C4579B">
        <w:t xml:space="preserve">a drive among scholars and welfare operators to end segregation for people with intellectual disabilities and </w:t>
      </w:r>
      <w:r w:rsidR="0096250B" w:rsidRPr="00C4579B">
        <w:t xml:space="preserve">to </w:t>
      </w:r>
      <w:r w:rsidRPr="00C4579B">
        <w:t xml:space="preserve">create living conditions </w:t>
      </w:r>
      <w:r w:rsidR="004B2D21" w:rsidRPr="00C4579B">
        <w:t xml:space="preserve">as close as possible to </w:t>
      </w:r>
      <w:r w:rsidR="00CB1CB8" w:rsidRPr="00C4579B">
        <w:t>those of the ‘</w:t>
      </w:r>
      <w:r w:rsidRPr="00C4579B">
        <w:t>normal</w:t>
      </w:r>
      <w:r w:rsidR="00CB1CB8" w:rsidRPr="00C4579B">
        <w:t>’</w:t>
      </w:r>
      <w:r w:rsidRPr="00C4579B">
        <w:t xml:space="preserve"> population. </w:t>
      </w:r>
      <w:r w:rsidR="00BD3A63" w:rsidRPr="00C4579B">
        <w:t xml:space="preserve">In the context of the realities for people with </w:t>
      </w:r>
      <w:r w:rsidR="00BD3A63" w:rsidRPr="00C4579B">
        <w:lastRenderedPageBreak/>
        <w:t>intellectual disabilities in the 1960’s and 1970’</w:t>
      </w:r>
      <w:r w:rsidR="00823BBF" w:rsidRPr="00C4579B">
        <w:t>s</w:t>
      </w:r>
      <w:r w:rsidR="00BD3A63" w:rsidRPr="00C4579B">
        <w:t xml:space="preserve"> the normalization principle represented an emancipatory liberation movement. From being separated from </w:t>
      </w:r>
      <w:r w:rsidR="0072767E">
        <w:t>their families at</w:t>
      </w:r>
      <w:r w:rsidR="00BD3A63" w:rsidRPr="00C4579B">
        <w:t xml:space="preserve"> an early age and brought up in large government</w:t>
      </w:r>
      <w:r w:rsidR="00823BBF" w:rsidRPr="00C4579B">
        <w:t>-</w:t>
      </w:r>
      <w:r w:rsidR="00BD3A63" w:rsidRPr="00C4579B">
        <w:t xml:space="preserve">run institutions, these persons were now mainstreamed into the larger society. </w:t>
      </w:r>
      <w:r w:rsidR="004D53C0" w:rsidRPr="00C4579B">
        <w:t>The normalization movement spearheaded</w:t>
      </w:r>
      <w:r w:rsidR="00BD3A63" w:rsidRPr="00C4579B">
        <w:t xml:space="preserve"> support for </w:t>
      </w:r>
      <w:r w:rsidR="004D53C0" w:rsidRPr="00C4579B">
        <w:t xml:space="preserve">parents with disabled children, admission to schools in the vicinity of the families’ homes, and support for adult persons to live and work in the community. </w:t>
      </w:r>
    </w:p>
    <w:p w:rsidR="00704753" w:rsidRPr="00C4579B" w:rsidRDefault="004D53C0" w:rsidP="00D36C98">
      <w:pPr>
        <w:spacing w:after="360" w:line="360" w:lineRule="auto"/>
        <w:jc w:val="both"/>
      </w:pPr>
      <w:r w:rsidRPr="00C4579B">
        <w:t xml:space="preserve">However, the </w:t>
      </w:r>
      <w:r w:rsidR="00704753" w:rsidRPr="00C4579B">
        <w:t xml:space="preserve">normalization principle </w:t>
      </w:r>
      <w:r w:rsidRPr="00C4579B">
        <w:t>also</w:t>
      </w:r>
      <w:r w:rsidR="0096250B" w:rsidRPr="00C4579B">
        <w:t xml:space="preserve"> </w:t>
      </w:r>
      <w:r w:rsidRPr="00C4579B">
        <w:t xml:space="preserve">contained seeds of ideological conflicts. </w:t>
      </w:r>
      <w:r w:rsidR="00704753" w:rsidRPr="00C4579B">
        <w:t>Normalization</w:t>
      </w:r>
      <w:r w:rsidR="0096250B" w:rsidRPr="00C4579B">
        <w:t>,</w:t>
      </w:r>
      <w:r w:rsidR="00704753" w:rsidRPr="00C4579B">
        <w:t xml:space="preserve"> almost by definition</w:t>
      </w:r>
      <w:r w:rsidR="0096250B" w:rsidRPr="00C4579B">
        <w:t>,</w:t>
      </w:r>
      <w:r w:rsidR="00B54904" w:rsidRPr="00C4579B">
        <w:t xml:space="preserve"> requires</w:t>
      </w:r>
      <w:r w:rsidR="00704753" w:rsidRPr="00C4579B">
        <w:t xml:space="preserve"> a no</w:t>
      </w:r>
      <w:r w:rsidR="00B54904" w:rsidRPr="00C4579B">
        <w:t>rmative understanding of normalit</w:t>
      </w:r>
      <w:r w:rsidR="00704753" w:rsidRPr="00C4579B">
        <w:t>y</w:t>
      </w:r>
      <w:r w:rsidR="0096250B" w:rsidRPr="00C4579B">
        <w:t xml:space="preserve"> itself</w:t>
      </w:r>
      <w:r w:rsidR="00704753" w:rsidRPr="00C4579B">
        <w:t xml:space="preserve">. The principle thus </w:t>
      </w:r>
      <w:r w:rsidRPr="00C4579B">
        <w:t>highlighted</w:t>
      </w:r>
      <w:r w:rsidR="00704753" w:rsidRPr="00C4579B">
        <w:t xml:space="preserve"> a tension between</w:t>
      </w:r>
      <w:r w:rsidR="00823BBF" w:rsidRPr="00C4579B">
        <w:t xml:space="preserve"> </w:t>
      </w:r>
      <w:r w:rsidRPr="00C4579B">
        <w:t>normalit</w:t>
      </w:r>
      <w:r w:rsidR="0096250B" w:rsidRPr="00C4579B">
        <w:t xml:space="preserve">y </w:t>
      </w:r>
      <w:r w:rsidRPr="00C4579B">
        <w:t xml:space="preserve">as </w:t>
      </w:r>
      <w:r w:rsidR="00704753" w:rsidRPr="00C4579B">
        <w:t>defined</w:t>
      </w:r>
      <w:r w:rsidRPr="00C4579B">
        <w:t xml:space="preserve"> collectively</w:t>
      </w:r>
      <w:r w:rsidR="00704753" w:rsidRPr="00C4579B">
        <w:t>,</w:t>
      </w:r>
      <w:r w:rsidRPr="00C4579B">
        <w:t xml:space="preserve"> that is, to live like other people do</w:t>
      </w:r>
      <w:r w:rsidR="00823BBF" w:rsidRPr="00C4579B">
        <w:t>,</w:t>
      </w:r>
      <w:r w:rsidR="00704753" w:rsidRPr="00C4579B">
        <w:t xml:space="preserve"> and freedom for the private individual to define </w:t>
      </w:r>
      <w:r w:rsidR="00B54904" w:rsidRPr="00C4579B">
        <w:t xml:space="preserve">for oneself </w:t>
      </w:r>
      <w:r w:rsidR="00704753" w:rsidRPr="00C4579B">
        <w:t>what it meant to lead an independent life</w:t>
      </w:r>
      <w:r w:rsidR="00B54904" w:rsidRPr="00C4579B">
        <w:t>,</w:t>
      </w:r>
      <w:r w:rsidR="00704753" w:rsidRPr="00C4579B">
        <w:t xml:space="preserve"> and </w:t>
      </w:r>
      <w:r w:rsidR="00B54904" w:rsidRPr="00C4579B">
        <w:t xml:space="preserve">thus </w:t>
      </w:r>
      <w:r w:rsidR="00704753" w:rsidRPr="00C4579B">
        <w:t xml:space="preserve">to be able to </w:t>
      </w:r>
      <w:r w:rsidR="00B54904" w:rsidRPr="00C4579B">
        <w:t xml:space="preserve">also </w:t>
      </w:r>
      <w:r w:rsidR="00704753" w:rsidRPr="00C4579B">
        <w:t>reinfor</w:t>
      </w:r>
      <w:r w:rsidR="00B54904" w:rsidRPr="00C4579B">
        <w:t xml:space="preserve">ce diversity within the larger normality </w:t>
      </w:r>
      <w:r w:rsidR="00704753" w:rsidRPr="00C4579B">
        <w:t>(</w:t>
      </w:r>
      <w:proofErr w:type="spellStart"/>
      <w:r w:rsidR="00704753" w:rsidRPr="00C4579B">
        <w:t>Askheim</w:t>
      </w:r>
      <w:proofErr w:type="spellEnd"/>
      <w:r w:rsidR="00704753" w:rsidRPr="00C4579B">
        <w:t xml:space="preserve"> 2005:17–24).</w:t>
      </w:r>
    </w:p>
    <w:p w:rsidR="00704753" w:rsidRPr="00C4579B" w:rsidRDefault="00704753" w:rsidP="00D36C98">
      <w:pPr>
        <w:spacing w:after="360" w:line="360" w:lineRule="auto"/>
        <w:jc w:val="both"/>
      </w:pPr>
      <w:r w:rsidRPr="00C4579B">
        <w:t>At the core of modern disability ideology in the Swedish welfare state is the notion of full and equal participation in society. This is a result of a long and gradual emancipatory process in close connection with the expansion of the social service state (Lindberg 2006). Full participation for people with disabilities is a notion with many nuances. A main component has been a social understanding of participation, that is, integration and mainstreaming instead of segregation</w:t>
      </w:r>
      <w:r w:rsidR="00901808" w:rsidRPr="00C4579B">
        <w:t>,</w:t>
      </w:r>
      <w:r w:rsidRPr="00C4579B">
        <w:t xml:space="preserve"> and inclusion instead of exclusion. An inherent tension has been noted also</w:t>
      </w:r>
      <w:r w:rsidR="003470ED" w:rsidRPr="00C4579B">
        <w:t xml:space="preserve"> </w:t>
      </w:r>
      <w:r w:rsidR="00E74CA9" w:rsidRPr="00C4579B">
        <w:t xml:space="preserve">in the notion of participation. </w:t>
      </w:r>
      <w:r w:rsidR="006C7281" w:rsidRPr="00C4579B">
        <w:t>The idea of f</w:t>
      </w:r>
      <w:r w:rsidRPr="00C4579B">
        <w:t xml:space="preserve">ull participation in society can be given somewhat different meanings </w:t>
      </w:r>
      <w:r w:rsidR="003525DA" w:rsidRPr="00C4579B">
        <w:t xml:space="preserve">according to whether </w:t>
      </w:r>
      <w:r w:rsidRPr="00C4579B">
        <w:t xml:space="preserve">it is understood from a </w:t>
      </w:r>
      <w:r w:rsidR="003470ED" w:rsidRPr="00C4579B">
        <w:t xml:space="preserve">traditional </w:t>
      </w:r>
      <w:r w:rsidR="00DE7650" w:rsidRPr="00C4579B">
        <w:t>Nordic</w:t>
      </w:r>
      <w:r w:rsidR="003470ED" w:rsidRPr="00C4579B">
        <w:t xml:space="preserve"> perspective with a collective focus on the </w:t>
      </w:r>
      <w:r w:rsidR="00E74CA9" w:rsidRPr="00C4579B">
        <w:t xml:space="preserve">society as a whole, </w:t>
      </w:r>
      <w:r w:rsidRPr="00C4579B">
        <w:t>more specifically on the opera</w:t>
      </w:r>
      <w:r w:rsidR="003470ED" w:rsidRPr="00C4579B">
        <w:t xml:space="preserve">tions of </w:t>
      </w:r>
      <w:r w:rsidR="00D92912" w:rsidRPr="00C4579B">
        <w:t xml:space="preserve">the </w:t>
      </w:r>
      <w:r w:rsidR="003470ED" w:rsidRPr="00C4579B">
        <w:t>social service state</w:t>
      </w:r>
      <w:r w:rsidR="00D92912" w:rsidRPr="00C4579B">
        <w:t xml:space="preserve"> to empower individuals</w:t>
      </w:r>
      <w:r w:rsidR="00E74CA9" w:rsidRPr="00C4579B">
        <w:t>,</w:t>
      </w:r>
      <w:r w:rsidR="003525DA" w:rsidRPr="00C4579B">
        <w:t xml:space="preserve"> or, </w:t>
      </w:r>
      <w:r w:rsidR="003470ED" w:rsidRPr="00C4579B">
        <w:t>from an</w:t>
      </w:r>
      <w:r w:rsidRPr="00C4579B">
        <w:t xml:space="preserve"> individual perspective, with a focus on the private individual’s possibilities</w:t>
      </w:r>
      <w:r w:rsidR="00B10F31" w:rsidRPr="00C4579B">
        <w:t xml:space="preserve"> to choose</w:t>
      </w:r>
      <w:r w:rsidRPr="00C4579B">
        <w:t xml:space="preserve"> to participate in various activities and social relations</w:t>
      </w:r>
      <w:r w:rsidR="00782128" w:rsidRPr="00C4579B">
        <w:t>.</w:t>
      </w:r>
      <w:r w:rsidRPr="00C4579B">
        <w:t xml:space="preserve"> Participation in the collective</w:t>
      </w:r>
      <w:r w:rsidR="00E74CA9" w:rsidRPr="00C4579B">
        <w:t xml:space="preserve"> and Nordic</w:t>
      </w:r>
      <w:r w:rsidRPr="00C4579B">
        <w:t xml:space="preserve"> sense requires a social context</w:t>
      </w:r>
      <w:r w:rsidR="00DE7650" w:rsidRPr="00C4579B">
        <w:t xml:space="preserve"> and</w:t>
      </w:r>
      <w:r w:rsidR="00CD04CC" w:rsidRPr="00C4579B">
        <w:t xml:space="preserve"> a welfare state</w:t>
      </w:r>
      <w:r w:rsidRPr="00C4579B">
        <w:t xml:space="preserve">. In the individual sense it is </w:t>
      </w:r>
      <w:r w:rsidR="003525DA" w:rsidRPr="00C4579B">
        <w:t>(</w:t>
      </w:r>
      <w:r w:rsidRPr="00C4579B">
        <w:t>probably</w:t>
      </w:r>
      <w:r w:rsidR="003525DA" w:rsidRPr="00C4579B">
        <w:t>)</w:t>
      </w:r>
      <w:r w:rsidRPr="00C4579B">
        <w:t xml:space="preserve"> </w:t>
      </w:r>
      <w:r w:rsidR="00E74CA9" w:rsidRPr="00C4579B">
        <w:t xml:space="preserve">quite </w:t>
      </w:r>
      <w:r w:rsidRPr="00C4579B">
        <w:t xml:space="preserve">possible to fully participate alone </w:t>
      </w:r>
      <w:r w:rsidRPr="00C4579B">
        <w:rPr>
          <w:rStyle w:val="FootnoteTextChar"/>
        </w:rPr>
        <w:t>(</w:t>
      </w:r>
      <w:proofErr w:type="spellStart"/>
      <w:r w:rsidRPr="00C4579B">
        <w:rPr>
          <w:rStyle w:val="FootnoteTextChar"/>
        </w:rPr>
        <w:t>Gustavsson</w:t>
      </w:r>
      <w:proofErr w:type="spellEnd"/>
      <w:r w:rsidRPr="00C4579B">
        <w:rPr>
          <w:rStyle w:val="FootnoteTextChar"/>
        </w:rPr>
        <w:t xml:space="preserve"> 2004).</w:t>
      </w:r>
    </w:p>
    <w:p w:rsidR="00704753" w:rsidRPr="00C4579B" w:rsidRDefault="005E5B53" w:rsidP="00D36C98">
      <w:pPr>
        <w:spacing w:after="360" w:line="360" w:lineRule="auto"/>
        <w:jc w:val="both"/>
      </w:pPr>
      <w:r w:rsidRPr="00C4579B">
        <w:t>Disability researchers i</w:t>
      </w:r>
      <w:r w:rsidR="00704753" w:rsidRPr="00C4579B">
        <w:t xml:space="preserve">n the Nordic countries </w:t>
      </w:r>
      <w:r w:rsidR="00DE7650" w:rsidRPr="00C4579B">
        <w:t>have</w:t>
      </w:r>
      <w:r w:rsidR="00704753" w:rsidRPr="00C4579B">
        <w:t xml:space="preserve"> developed an understanding of disability as relational, </w:t>
      </w:r>
      <w:r w:rsidR="00CD663B" w:rsidRPr="00C4579B">
        <w:t xml:space="preserve">as </w:t>
      </w:r>
      <w:r w:rsidR="00704753" w:rsidRPr="00C4579B">
        <w:t xml:space="preserve">a mismatch between a person’s capabilities and </w:t>
      </w:r>
      <w:r w:rsidR="00823BBF" w:rsidRPr="00C4579B">
        <w:t xml:space="preserve">the </w:t>
      </w:r>
      <w:r w:rsidR="00704753" w:rsidRPr="00C4579B">
        <w:t>functional characteristics of the environment. Disability is viewed as situational, contextual and rela</w:t>
      </w:r>
      <w:r w:rsidR="00CD663B" w:rsidRPr="00C4579B">
        <w:t>tive</w:t>
      </w:r>
      <w:r w:rsidR="00704753" w:rsidRPr="00C4579B">
        <w:t xml:space="preserve"> rather than situated in some essence of </w:t>
      </w:r>
      <w:r w:rsidR="00D76F3D" w:rsidRPr="00C4579B">
        <w:t>the</w:t>
      </w:r>
      <w:r w:rsidR="00704753" w:rsidRPr="00C4579B">
        <w:t xml:space="preserve"> person (</w:t>
      </w:r>
      <w:proofErr w:type="spellStart"/>
      <w:r w:rsidR="00704753" w:rsidRPr="00C4579B">
        <w:t>Tøssebro</w:t>
      </w:r>
      <w:proofErr w:type="spellEnd"/>
      <w:r w:rsidR="00704753" w:rsidRPr="00C4579B">
        <w:t xml:space="preserve"> 2004:4).</w:t>
      </w:r>
      <w:r w:rsidR="00CE26E3" w:rsidRPr="00C4579B">
        <w:t xml:space="preserve"> The Nordic relational approach, </w:t>
      </w:r>
      <w:r w:rsidR="00CE26E3" w:rsidRPr="00C4579B">
        <w:lastRenderedPageBreak/>
        <w:t xml:space="preserve">also called </w:t>
      </w:r>
      <w:r w:rsidR="00704753" w:rsidRPr="00C4579B">
        <w:t>the environmentally relative model of disability</w:t>
      </w:r>
      <w:r w:rsidR="00CE26E3" w:rsidRPr="00C4579B">
        <w:t>,</w:t>
      </w:r>
      <w:r w:rsidR="00704753" w:rsidRPr="00C4579B">
        <w:t xml:space="preserve"> has been widely adopted by researchers and authorities alike in the Nordic welfare states and </w:t>
      </w:r>
      <w:r w:rsidR="005B4744" w:rsidRPr="00C4579B">
        <w:t xml:space="preserve">has </w:t>
      </w:r>
      <w:r w:rsidR="00704753" w:rsidRPr="00C4579B">
        <w:t>exer</w:t>
      </w:r>
      <w:r w:rsidR="005B4744" w:rsidRPr="00C4579B">
        <w:t>cised</w:t>
      </w:r>
      <w:r w:rsidR="00704753" w:rsidRPr="00C4579B">
        <w:t xml:space="preserve"> a considerable influence in </w:t>
      </w:r>
      <w:r w:rsidR="00866922" w:rsidRPr="00C4579B">
        <w:t xml:space="preserve">both </w:t>
      </w:r>
      <w:r w:rsidR="00704753" w:rsidRPr="00C4579B">
        <w:t>legal and policy documents (</w:t>
      </w:r>
      <w:proofErr w:type="spellStart"/>
      <w:r w:rsidR="00704753" w:rsidRPr="00C4579B">
        <w:t>Traustadóttir</w:t>
      </w:r>
      <w:proofErr w:type="spellEnd"/>
      <w:r w:rsidR="00704753" w:rsidRPr="00C4579B">
        <w:t xml:space="preserve"> 2009:12–13).</w:t>
      </w:r>
    </w:p>
    <w:p w:rsidR="00B62C95" w:rsidRPr="00C4579B" w:rsidRDefault="00B62C95" w:rsidP="00D36C98">
      <w:pPr>
        <w:spacing w:after="360" w:line="360" w:lineRule="auto"/>
        <w:jc w:val="both"/>
      </w:pPr>
    </w:p>
    <w:p w:rsidR="008F492A" w:rsidRPr="00C4579B" w:rsidRDefault="008F492A" w:rsidP="00D36C98">
      <w:pPr>
        <w:pStyle w:val="Title"/>
        <w:spacing w:before="0" w:after="360" w:line="360" w:lineRule="auto"/>
        <w:jc w:val="left"/>
        <w:rPr>
          <w:rFonts w:ascii="Times New Roman" w:hAnsi="Times New Roman"/>
          <w:sz w:val="24"/>
          <w:szCs w:val="24"/>
        </w:rPr>
      </w:pPr>
      <w:bookmarkStart w:id="2" w:name="_GoBack"/>
      <w:bookmarkEnd w:id="2"/>
      <w:r w:rsidRPr="00C4579B">
        <w:rPr>
          <w:rFonts w:ascii="Times New Roman" w:hAnsi="Times New Roman"/>
          <w:sz w:val="24"/>
          <w:szCs w:val="24"/>
        </w:rPr>
        <w:t xml:space="preserve">Autonomy </w:t>
      </w:r>
      <w:r w:rsidR="009D50AB" w:rsidRPr="00C4579B">
        <w:rPr>
          <w:rFonts w:ascii="Times New Roman" w:hAnsi="Times New Roman"/>
          <w:sz w:val="24"/>
          <w:szCs w:val="24"/>
        </w:rPr>
        <w:t xml:space="preserve">and Disability </w:t>
      </w:r>
      <w:r w:rsidRPr="00C4579B">
        <w:rPr>
          <w:rFonts w:ascii="Times New Roman" w:hAnsi="Times New Roman"/>
          <w:sz w:val="24"/>
          <w:szCs w:val="24"/>
        </w:rPr>
        <w:t>in the Social Service State</w:t>
      </w:r>
    </w:p>
    <w:p w:rsidR="00254782" w:rsidRPr="00C4579B" w:rsidRDefault="004F6DFC" w:rsidP="00D36C98">
      <w:pPr>
        <w:spacing w:after="360" w:line="360" w:lineRule="auto"/>
        <w:jc w:val="both"/>
      </w:pPr>
      <w:r w:rsidRPr="00C4579B">
        <w:t xml:space="preserve">The Swedish welfare model has been described as </w:t>
      </w:r>
      <w:r w:rsidR="00CE26E3" w:rsidRPr="00C4579B">
        <w:t xml:space="preserve">Social Democratic in outlook and </w:t>
      </w:r>
      <w:r w:rsidRPr="00C4579B">
        <w:t>committed not only to equal opportunities but to equality of outcomes (Sainsbu</w:t>
      </w:r>
      <w:r w:rsidR="00CE26E3" w:rsidRPr="00C4579B">
        <w:t xml:space="preserve">ry 1996:32). This understandably creates a severe tension between the ethics and rationality of the welfare state and neoliberal ideology. The services of the welfare state aimed at people with disabilities are often </w:t>
      </w:r>
      <w:r w:rsidR="00BB042D" w:rsidRPr="00C4579B">
        <w:t>described</w:t>
      </w:r>
      <w:r w:rsidR="00CE26E3" w:rsidRPr="00C4579B">
        <w:t xml:space="preserve"> as moving away from collectivist and egalitarian notions and moving toward more freedom of choice for the private individual among a multitude of competing service providers (Lindberg &amp; </w:t>
      </w:r>
      <w:proofErr w:type="spellStart"/>
      <w:r w:rsidR="00CE26E3" w:rsidRPr="00C4579B">
        <w:t>Grönvik</w:t>
      </w:r>
      <w:proofErr w:type="spellEnd"/>
      <w:r w:rsidR="00CE26E3" w:rsidRPr="00C4579B">
        <w:t xml:space="preserve"> 2011:93–96). </w:t>
      </w:r>
      <w:r w:rsidR="000B6978" w:rsidRPr="00C4579B">
        <w:t>However, when approached on an individual level, and/or with a critical perspective, the perceptions are often the opposite.</w:t>
      </w:r>
      <w:r w:rsidR="00254782" w:rsidRPr="00C4579B">
        <w:t xml:space="preserve"> For example, when scholars estimate eligible people’s attitudes toward the special transport services the results indicate that the more dependent the person is upon the services, that is, the more frequent</w:t>
      </w:r>
      <w:r w:rsidR="00BB042D" w:rsidRPr="00C4579B">
        <w:t>ly</w:t>
      </w:r>
      <w:r w:rsidR="00254782" w:rsidRPr="00C4579B">
        <w:t xml:space="preserve"> the services are being utilized by that person, the more negative</w:t>
      </w:r>
      <w:r w:rsidR="00BB042D" w:rsidRPr="00C4579B">
        <w:t>ly</w:t>
      </w:r>
      <w:r w:rsidR="00254782" w:rsidRPr="00C4579B">
        <w:t xml:space="preserve"> that person views the services. Over time, as more elements of procurement, competition and individual choice are introduced in the services, the results indicate that frequent travelers are increasingly unhappy with both quality and quantity of services (</w:t>
      </w:r>
      <w:proofErr w:type="spellStart"/>
      <w:r w:rsidR="00254782" w:rsidRPr="00C4579B">
        <w:t>Strömberg</w:t>
      </w:r>
      <w:proofErr w:type="spellEnd"/>
      <w:r w:rsidR="00254782" w:rsidRPr="00C4579B">
        <w:t xml:space="preserve"> 2011, </w:t>
      </w:r>
      <w:proofErr w:type="spellStart"/>
      <w:r w:rsidR="00254782" w:rsidRPr="00C4579B">
        <w:t>Knutsson</w:t>
      </w:r>
      <w:proofErr w:type="spellEnd"/>
      <w:r w:rsidR="00254782" w:rsidRPr="00C4579B">
        <w:t xml:space="preserve"> 1998).</w:t>
      </w:r>
    </w:p>
    <w:p w:rsidR="008F492A" w:rsidRPr="00C4579B" w:rsidRDefault="008F492A" w:rsidP="00D36C98">
      <w:pPr>
        <w:spacing w:after="360" w:line="360" w:lineRule="auto"/>
        <w:jc w:val="both"/>
      </w:pPr>
      <w:r w:rsidRPr="00C4579B">
        <w:t>Individual autonomy in</w:t>
      </w:r>
      <w:r w:rsidR="00BB042D" w:rsidRPr="00C4579B">
        <w:t xml:space="preserve"> the context of the Nordic</w:t>
      </w:r>
      <w:r w:rsidRPr="00C4579B">
        <w:t xml:space="preserve"> welfare states usually takes on a differe</w:t>
      </w:r>
      <w:r w:rsidR="006E3C44" w:rsidRPr="00C4579B">
        <w:t>nt meaning compared to classical</w:t>
      </w:r>
      <w:r w:rsidRPr="00C4579B">
        <w:t xml:space="preserve"> liberal notions. Autonomy in </w:t>
      </w:r>
      <w:r w:rsidR="00BB042D" w:rsidRPr="00C4579B">
        <w:t>t</w:t>
      </w:r>
      <w:r w:rsidR="002E50A2" w:rsidRPr="00C4579B">
        <w:t>he Nordic countries</w:t>
      </w:r>
      <w:r w:rsidR="00823BBF" w:rsidRPr="00C4579B">
        <w:t>, as</w:t>
      </w:r>
      <w:r w:rsidRPr="00C4579B">
        <w:t xml:space="preserve"> understood</w:t>
      </w:r>
      <w:r w:rsidR="002E50A2" w:rsidRPr="00C4579B">
        <w:t xml:space="preserve"> by disability researchers</w:t>
      </w:r>
      <w:r w:rsidR="00823BBF" w:rsidRPr="00C4579B">
        <w:t>,</w:t>
      </w:r>
      <w:r w:rsidRPr="00C4579B">
        <w:t xml:space="preserve"> </w:t>
      </w:r>
      <w:r w:rsidR="002E50A2" w:rsidRPr="00C4579B">
        <w:t xml:space="preserve">is often perceived </w:t>
      </w:r>
      <w:r w:rsidRPr="00C4579B">
        <w:t xml:space="preserve">as </w:t>
      </w:r>
      <w:r w:rsidR="006C61E7" w:rsidRPr="00C4579B">
        <w:t xml:space="preserve">the </w:t>
      </w:r>
      <w:r w:rsidRPr="00C4579B">
        <w:t>individual freedom and ability to take part in all kinds of communal and private activities. Rather than mere freedom of choice or freedom f</w:t>
      </w:r>
      <w:r w:rsidR="006C61E7" w:rsidRPr="00C4579B">
        <w:t>rom government interference, this</w:t>
      </w:r>
      <w:r w:rsidRPr="00C4579B">
        <w:t xml:space="preserve"> concept of autonomy is linked to the freedom to fully participate in society on </w:t>
      </w:r>
      <w:r w:rsidR="0072767E">
        <w:t xml:space="preserve">an </w:t>
      </w:r>
      <w:r w:rsidRPr="00C4579B">
        <w:t>equal footing with everybody else. S</w:t>
      </w:r>
      <w:r w:rsidR="006C61E7" w:rsidRPr="00C4579B">
        <w:t>uch Nordic</w:t>
      </w:r>
      <w:r w:rsidRPr="00C4579B">
        <w:t xml:space="preserve"> autonomy rejects paternalism, but the means for doing so include making available and accessible </w:t>
      </w:r>
      <w:r w:rsidR="003525DA" w:rsidRPr="00C4579B">
        <w:t>to</w:t>
      </w:r>
      <w:r w:rsidRPr="00C4579B">
        <w:t xml:space="preserve"> the private individual the full arsenal of society and government (</w:t>
      </w:r>
      <w:proofErr w:type="spellStart"/>
      <w:r w:rsidRPr="00C4579B">
        <w:t>Helmius</w:t>
      </w:r>
      <w:proofErr w:type="spellEnd"/>
      <w:r w:rsidRPr="00C4579B">
        <w:t xml:space="preserve"> 2004a:114, 2004b:106). </w:t>
      </w:r>
      <w:r w:rsidR="006C61E7" w:rsidRPr="00C4579B">
        <w:t xml:space="preserve">In this context </w:t>
      </w:r>
      <w:r w:rsidRPr="00C4579B">
        <w:t xml:space="preserve">the welfare state can </w:t>
      </w:r>
      <w:r w:rsidR="00823BBF" w:rsidRPr="00C4579B">
        <w:t xml:space="preserve">also </w:t>
      </w:r>
      <w:r w:rsidRPr="00C4579B">
        <w:t xml:space="preserve">be perceived as the foremost </w:t>
      </w:r>
      <w:r w:rsidRPr="00C4579B">
        <w:lastRenderedPageBreak/>
        <w:t>emancipatory agent</w:t>
      </w:r>
      <w:r w:rsidR="006C61E7" w:rsidRPr="00C4579B">
        <w:t xml:space="preserve"> from an individual autonomy perspective</w:t>
      </w:r>
      <w:r w:rsidRPr="00C4579B">
        <w:t xml:space="preserve">. </w:t>
      </w:r>
      <w:r w:rsidR="00334719" w:rsidRPr="00C4579B">
        <w:t xml:space="preserve">This </w:t>
      </w:r>
      <w:r w:rsidR="006A51ED" w:rsidRPr="00C4579B">
        <w:t xml:space="preserve">egalitarian </w:t>
      </w:r>
      <w:r w:rsidR="00334719" w:rsidRPr="00C4579B">
        <w:t xml:space="preserve">Nordic concept of individual autonomy resonates very well with Nancy Fraser’s idea </w:t>
      </w:r>
      <w:r w:rsidR="00823BBF" w:rsidRPr="00C4579B">
        <w:t xml:space="preserve">of </w:t>
      </w:r>
      <w:r w:rsidR="00334719" w:rsidRPr="00C4579B">
        <w:t>participatory parity as a key component of social justice. The concept of participatory parity may be more or less realized depending on the social relations between individuals</w:t>
      </w:r>
      <w:r w:rsidR="00DB7FCC" w:rsidRPr="00C4579B">
        <w:t xml:space="preserve"> in the community</w:t>
      </w:r>
      <w:r w:rsidR="00334719" w:rsidRPr="00C4579B">
        <w:t xml:space="preserve">. </w:t>
      </w:r>
      <w:r w:rsidR="008900B1" w:rsidRPr="00C4579B">
        <w:t xml:space="preserve">In any case, the concept inevitably raises questions </w:t>
      </w:r>
      <w:r w:rsidR="00823BBF" w:rsidRPr="00C4579B">
        <w:t xml:space="preserve">about </w:t>
      </w:r>
      <w:r w:rsidR="008900B1" w:rsidRPr="00C4579B">
        <w:t xml:space="preserve">power relations in that community. </w:t>
      </w:r>
      <w:r w:rsidR="006A51ED" w:rsidRPr="00C4579B">
        <w:t>Regardless of w</w:t>
      </w:r>
      <w:r w:rsidR="008900B1" w:rsidRPr="00C4579B">
        <w:t xml:space="preserve">hether </w:t>
      </w:r>
      <w:r w:rsidR="006A51ED" w:rsidRPr="00C4579B">
        <w:t xml:space="preserve">institutionalized injustices and </w:t>
      </w:r>
      <w:r w:rsidR="008900B1" w:rsidRPr="00C4579B">
        <w:t xml:space="preserve">inequalities manifest as maldistribution, misrecognition or </w:t>
      </w:r>
      <w:r w:rsidR="006A51ED" w:rsidRPr="00C4579B">
        <w:t xml:space="preserve">misrepresentation, they must be viewed comprehensively, that is, as evidence of a status in society, </w:t>
      </w:r>
      <w:r w:rsidR="00013BFE" w:rsidRPr="00C4579B">
        <w:t xml:space="preserve">and </w:t>
      </w:r>
      <w:r w:rsidR="006A51ED" w:rsidRPr="00C4579B">
        <w:t>not merely as a singular issue of, for example, the distribution of certain social goods or a personal feeling of identity (Fraser 2008).</w:t>
      </w:r>
      <w:r w:rsidR="00013BFE" w:rsidRPr="00C4579B">
        <w:t xml:space="preserve"> </w:t>
      </w:r>
      <w:r w:rsidRPr="00C4579B">
        <w:t>As a consequence</w:t>
      </w:r>
      <w:r w:rsidR="00013BFE" w:rsidRPr="00C4579B">
        <w:t xml:space="preserve"> of the comprehensive view </w:t>
      </w:r>
      <w:r w:rsidR="002276EB" w:rsidRPr="00C4579B">
        <w:t xml:space="preserve">of </w:t>
      </w:r>
      <w:r w:rsidR="00013BFE" w:rsidRPr="00C4579B">
        <w:t>individual autonomy</w:t>
      </w:r>
      <w:r w:rsidRPr="00C4579B">
        <w:t xml:space="preserve">, the material scope </w:t>
      </w:r>
      <w:r w:rsidR="00B835B9" w:rsidRPr="00C4579B">
        <w:t>of the various individual legal</w:t>
      </w:r>
      <w:r w:rsidR="009C018A" w:rsidRPr="00C4579B">
        <w:t xml:space="preserve"> rights becomes a very</w:t>
      </w:r>
      <w:r w:rsidRPr="00C4579B">
        <w:t xml:space="preserve"> important component in the social citizen</w:t>
      </w:r>
      <w:r w:rsidR="006E3C44" w:rsidRPr="00C4579B">
        <w:t xml:space="preserve">ship of the private </w:t>
      </w:r>
      <w:r w:rsidR="00013BFE" w:rsidRPr="00C4579B">
        <w:t>individual in the Swedish welfare state.</w:t>
      </w:r>
    </w:p>
    <w:p w:rsidR="00704753" w:rsidRPr="00C4579B" w:rsidRDefault="00704753" w:rsidP="00D36C98">
      <w:pPr>
        <w:spacing w:after="360" w:line="360" w:lineRule="auto"/>
        <w:jc w:val="both"/>
      </w:pPr>
      <w:r w:rsidRPr="00C4579B">
        <w:t>Article 3 of the UN Convention on the Rights of Persons with Disabilities explicitly lists individual autonomy</w:t>
      </w:r>
      <w:r w:rsidR="00605B76" w:rsidRPr="00C4579B">
        <w:t>,</w:t>
      </w:r>
      <w:r w:rsidRPr="00C4579B">
        <w:t xml:space="preserve"> including the freedom to make one’s own choices</w:t>
      </w:r>
      <w:r w:rsidR="00605B76" w:rsidRPr="00C4579B">
        <w:t>,</w:t>
      </w:r>
      <w:r w:rsidR="00D97FB2" w:rsidRPr="00C4579B">
        <w:t xml:space="preserve"> as a general principle underlining</w:t>
      </w:r>
      <w:r w:rsidRPr="00C4579B">
        <w:t xml:space="preserve"> the </w:t>
      </w:r>
      <w:r w:rsidR="00013BFE" w:rsidRPr="00C4579B">
        <w:t xml:space="preserve">entire </w:t>
      </w:r>
      <w:r w:rsidRPr="00C4579B">
        <w:t>Convention. Accordingly, the impact on individual autonomy</w:t>
      </w:r>
      <w:r w:rsidR="0056246E" w:rsidRPr="00C4579B">
        <w:t xml:space="preserve"> ought to be</w:t>
      </w:r>
      <w:r w:rsidR="00013BFE" w:rsidRPr="00C4579B">
        <w:t xml:space="preserve"> important when interpreting</w:t>
      </w:r>
      <w:r w:rsidRPr="00C4579B">
        <w:t xml:space="preserve"> law concerning services for people with disabilities. How to reinforce and support individual autonomy for persons with disabilities within the context of welfare stat</w:t>
      </w:r>
      <w:r w:rsidR="00013BFE" w:rsidRPr="00C4579B">
        <w:t>e law is of course a</w:t>
      </w:r>
      <w:r w:rsidRPr="00C4579B">
        <w:t xml:space="preserve"> co</w:t>
      </w:r>
      <w:r w:rsidR="001A2736" w:rsidRPr="00C4579B">
        <w:t>mplex and multi-</w:t>
      </w:r>
      <w:r w:rsidR="00BF57CF" w:rsidRPr="00C4579B">
        <w:t xml:space="preserve">faceted issue. </w:t>
      </w:r>
      <w:r w:rsidR="001935D7" w:rsidRPr="00C4579B">
        <w:t>D</w:t>
      </w:r>
      <w:r w:rsidRPr="00C4579B">
        <w:t xml:space="preserve">isability research </w:t>
      </w:r>
      <w:r w:rsidR="001935D7" w:rsidRPr="00C4579B">
        <w:t xml:space="preserve">has </w:t>
      </w:r>
      <w:r w:rsidR="00013BFE" w:rsidRPr="00C4579B">
        <w:t>shown</w:t>
      </w:r>
      <w:r w:rsidR="001935D7" w:rsidRPr="00C4579B">
        <w:t xml:space="preserve"> </w:t>
      </w:r>
      <w:r w:rsidRPr="00C4579B">
        <w:t xml:space="preserve">that the operators of the social service state, that is, </w:t>
      </w:r>
      <w:r w:rsidR="001A2736" w:rsidRPr="00C4579B">
        <w:t xml:space="preserve">the </w:t>
      </w:r>
      <w:r w:rsidRPr="00C4579B">
        <w:t xml:space="preserve">people of various professions employed within </w:t>
      </w:r>
      <w:r w:rsidR="0007561B" w:rsidRPr="00C4579B">
        <w:t>it</w:t>
      </w:r>
      <w:r w:rsidRPr="00C4579B">
        <w:t xml:space="preserve">, tend to take on the role of experts and </w:t>
      </w:r>
      <w:r w:rsidR="001A2736" w:rsidRPr="00C4579B">
        <w:t xml:space="preserve">become </w:t>
      </w:r>
      <w:r w:rsidRPr="00C4579B">
        <w:t>chief interpreters of the needs and desires of</w:t>
      </w:r>
      <w:r w:rsidR="00073192" w:rsidRPr="00C4579B">
        <w:t xml:space="preserve"> persons with disabilities, </w:t>
      </w:r>
      <w:r w:rsidR="001A2736" w:rsidRPr="00C4579B">
        <w:t xml:space="preserve">even </w:t>
      </w:r>
      <w:r w:rsidRPr="00C4579B">
        <w:t xml:space="preserve">in situations where the private individuals </w:t>
      </w:r>
      <w:r w:rsidR="001A2736" w:rsidRPr="00C4579B">
        <w:t xml:space="preserve">concerned </w:t>
      </w:r>
      <w:r w:rsidRPr="00C4579B">
        <w:t xml:space="preserve">may very well </w:t>
      </w:r>
      <w:r w:rsidR="001A2736" w:rsidRPr="00C4579B">
        <w:t xml:space="preserve">be able to </w:t>
      </w:r>
      <w:r w:rsidRPr="00C4579B">
        <w:t xml:space="preserve">articulate their own needs (Barron 2000:121–122). </w:t>
      </w:r>
      <w:r w:rsidR="001A2736" w:rsidRPr="00C4579B">
        <w:t>So although t</w:t>
      </w:r>
      <w:r w:rsidRPr="00C4579B">
        <w:t xml:space="preserve">he </w:t>
      </w:r>
      <w:r w:rsidR="00CE3156" w:rsidRPr="00C4579B">
        <w:t>expansion of the social service state has indeed served</w:t>
      </w:r>
      <w:r w:rsidRPr="00C4579B">
        <w:t xml:space="preserve"> to liberate people with disabilities from segregation and a status as objects f</w:t>
      </w:r>
      <w:r w:rsidR="00073192" w:rsidRPr="00C4579B">
        <w:t>or medical dominance</w:t>
      </w:r>
      <w:r w:rsidR="001A2736" w:rsidRPr="00C4579B">
        <w:t xml:space="preserve">, </w:t>
      </w:r>
      <w:r w:rsidRPr="00C4579B">
        <w:t>interaction</w:t>
      </w:r>
      <w:r w:rsidR="001A2736" w:rsidRPr="00C4579B">
        <w:t>s</w:t>
      </w:r>
      <w:r w:rsidRPr="00C4579B">
        <w:t xml:space="preserve"> between private individuals and </w:t>
      </w:r>
      <w:r w:rsidR="00CE3156" w:rsidRPr="00C4579B">
        <w:t>welfare</w:t>
      </w:r>
      <w:r w:rsidRPr="00C4579B">
        <w:t xml:space="preserve"> state operators </w:t>
      </w:r>
      <w:r w:rsidR="00B02957" w:rsidRPr="00C4579B">
        <w:t xml:space="preserve">may </w:t>
      </w:r>
      <w:r w:rsidRPr="00C4579B">
        <w:t>cr</w:t>
      </w:r>
      <w:r w:rsidR="00B02957" w:rsidRPr="00C4579B">
        <w:t>eate</w:t>
      </w:r>
      <w:r w:rsidR="00F72794" w:rsidRPr="00C4579B">
        <w:t xml:space="preserve"> perceptions of dependency</w:t>
      </w:r>
      <w:r w:rsidR="00650528" w:rsidRPr="00C4579B">
        <w:t xml:space="preserve">. </w:t>
      </w:r>
      <w:r w:rsidR="001A2736" w:rsidRPr="00C4579B">
        <w:t>T</w:t>
      </w:r>
      <w:r w:rsidR="00650528" w:rsidRPr="00C4579B">
        <w:t xml:space="preserve">he </w:t>
      </w:r>
      <w:r w:rsidR="001A2736" w:rsidRPr="00C4579B">
        <w:t xml:space="preserve">underlying </w:t>
      </w:r>
      <w:r w:rsidR="00650528" w:rsidRPr="00C4579B">
        <w:t xml:space="preserve">values of </w:t>
      </w:r>
      <w:r w:rsidRPr="00C4579B">
        <w:t xml:space="preserve">professional systems </w:t>
      </w:r>
      <w:r w:rsidR="00650528" w:rsidRPr="00C4579B">
        <w:t xml:space="preserve">and the rationality of the social service state </w:t>
      </w:r>
      <w:r w:rsidRPr="00C4579B">
        <w:t xml:space="preserve">may </w:t>
      </w:r>
      <w:r w:rsidR="001A2736" w:rsidRPr="00C4579B">
        <w:t xml:space="preserve">still </w:t>
      </w:r>
      <w:r w:rsidRPr="00C4579B">
        <w:t xml:space="preserve">take precedence over such </w:t>
      </w:r>
      <w:r w:rsidR="00650528" w:rsidRPr="00C4579B">
        <w:t>values as</w:t>
      </w:r>
      <w:r w:rsidR="00F72794" w:rsidRPr="00C4579B">
        <w:t>, for example,</w:t>
      </w:r>
      <w:r w:rsidR="00650528" w:rsidRPr="00C4579B">
        <w:t xml:space="preserve"> </w:t>
      </w:r>
      <w:r w:rsidR="001A2736" w:rsidRPr="00C4579B">
        <w:t xml:space="preserve">that of </w:t>
      </w:r>
      <w:r w:rsidR="00650528" w:rsidRPr="00C4579B">
        <w:t>individual</w:t>
      </w:r>
      <w:r w:rsidRPr="00C4579B">
        <w:t xml:space="preserve"> autonomy (SOU 1998:48, SOU 1999:21, </w:t>
      </w:r>
      <w:proofErr w:type="spellStart"/>
      <w:r w:rsidRPr="00C4579B">
        <w:t>Askheim</w:t>
      </w:r>
      <w:proofErr w:type="spellEnd"/>
      <w:r w:rsidRPr="00C4579B">
        <w:t xml:space="preserve"> 2005:92, </w:t>
      </w:r>
      <w:proofErr w:type="spellStart"/>
      <w:r w:rsidRPr="00C4579B">
        <w:t>Nordgren</w:t>
      </w:r>
      <w:proofErr w:type="spellEnd"/>
      <w:r w:rsidRPr="00C4579B">
        <w:t xml:space="preserve"> 2009).</w:t>
      </w:r>
    </w:p>
    <w:p w:rsidR="005D596A" w:rsidRPr="00C4579B" w:rsidRDefault="005D596A" w:rsidP="00D36C98">
      <w:pPr>
        <w:spacing w:after="360" w:line="360" w:lineRule="auto"/>
        <w:jc w:val="both"/>
      </w:pPr>
    </w:p>
    <w:p w:rsidR="00CD101F" w:rsidRDefault="00CD101F">
      <w:pPr>
        <w:rPr>
          <w:b/>
          <w:bCs/>
          <w:kern w:val="28"/>
          <w:lang/>
        </w:rPr>
      </w:pPr>
      <w:r>
        <w:br w:type="page"/>
      </w:r>
    </w:p>
    <w:p w:rsidR="00EE0556" w:rsidRPr="00C4579B" w:rsidRDefault="00F25B5C" w:rsidP="00D36C98">
      <w:pPr>
        <w:pStyle w:val="Title"/>
        <w:spacing w:before="0" w:after="360" w:line="360" w:lineRule="auto"/>
        <w:jc w:val="left"/>
        <w:rPr>
          <w:rFonts w:ascii="Times New Roman" w:hAnsi="Times New Roman"/>
          <w:sz w:val="24"/>
          <w:szCs w:val="24"/>
        </w:rPr>
      </w:pPr>
      <w:r w:rsidRPr="00C4579B">
        <w:rPr>
          <w:rFonts w:ascii="Times New Roman" w:hAnsi="Times New Roman"/>
          <w:sz w:val="24"/>
          <w:szCs w:val="24"/>
        </w:rPr>
        <w:lastRenderedPageBreak/>
        <w:t xml:space="preserve">The </w:t>
      </w:r>
      <w:r w:rsidR="00867472" w:rsidRPr="00C4579B">
        <w:rPr>
          <w:rFonts w:ascii="Times New Roman" w:hAnsi="Times New Roman"/>
          <w:sz w:val="24"/>
          <w:szCs w:val="24"/>
        </w:rPr>
        <w:t>Special Transport S</w:t>
      </w:r>
      <w:r w:rsidR="00EE0556" w:rsidRPr="00C4579B">
        <w:rPr>
          <w:rFonts w:ascii="Times New Roman" w:hAnsi="Times New Roman"/>
          <w:sz w:val="24"/>
          <w:szCs w:val="24"/>
        </w:rPr>
        <w:t>ervices</w:t>
      </w:r>
    </w:p>
    <w:p w:rsidR="00E813FA" w:rsidRPr="00C4579B" w:rsidRDefault="005E2C44" w:rsidP="00D36C98">
      <w:pPr>
        <w:spacing w:after="360" w:line="360" w:lineRule="auto"/>
        <w:jc w:val="both"/>
      </w:pPr>
      <w:r w:rsidRPr="00C4579B">
        <w:t>S</w:t>
      </w:r>
      <w:r w:rsidR="0020745F" w:rsidRPr="00C4579B">
        <w:t xml:space="preserve">pecial </w:t>
      </w:r>
      <w:r w:rsidR="001A0B26" w:rsidRPr="00C4579B">
        <w:t>transport s</w:t>
      </w:r>
      <w:r w:rsidR="00071DF7" w:rsidRPr="00C4579B">
        <w:t>ervices</w:t>
      </w:r>
      <w:r w:rsidR="0020745F" w:rsidRPr="00C4579B">
        <w:t xml:space="preserve"> for people with disabil</w:t>
      </w:r>
      <w:r w:rsidR="00071DF7" w:rsidRPr="00C4579B">
        <w:t xml:space="preserve">ities </w:t>
      </w:r>
      <w:r w:rsidR="00776B4B" w:rsidRPr="00C4579B">
        <w:t xml:space="preserve">gradually became available in the entire country </w:t>
      </w:r>
      <w:r w:rsidR="00E97F56" w:rsidRPr="00C4579B">
        <w:t xml:space="preserve">of Sweden </w:t>
      </w:r>
      <w:r w:rsidR="00776B4B" w:rsidRPr="00C4579B">
        <w:t>during the 1970’s.</w:t>
      </w:r>
      <w:r w:rsidR="0020745F" w:rsidRPr="00C4579B">
        <w:t xml:space="preserve"> </w:t>
      </w:r>
      <w:r w:rsidR="00E813FA" w:rsidRPr="00C4579B">
        <w:t>The</w:t>
      </w:r>
      <w:r w:rsidR="00E97F56" w:rsidRPr="00C4579B">
        <w:t>se</w:t>
      </w:r>
      <w:r w:rsidR="00E813FA" w:rsidRPr="00C4579B">
        <w:t xml:space="preserve"> services are currently regulated by the </w:t>
      </w:r>
      <w:r w:rsidR="004E01D6" w:rsidRPr="00C4579B">
        <w:t>1997</w:t>
      </w:r>
      <w:r w:rsidR="0045202B" w:rsidRPr="00C4579B">
        <w:t xml:space="preserve"> </w:t>
      </w:r>
      <w:r w:rsidR="00E813FA" w:rsidRPr="00C4579B">
        <w:t>Special Transport Services Act</w:t>
      </w:r>
      <w:r w:rsidR="00E97F56" w:rsidRPr="00C4579B">
        <w:t xml:space="preserve">, which defines them </w:t>
      </w:r>
      <w:r w:rsidR="00E813FA" w:rsidRPr="00C4579B">
        <w:t xml:space="preserve">as “specially arranged transports for people with disabilities”. </w:t>
      </w:r>
      <w:r w:rsidR="00E97F56" w:rsidRPr="00C4579B">
        <w:t xml:space="preserve">They provide a telephone </w:t>
      </w:r>
      <w:r w:rsidR="00E813FA" w:rsidRPr="00C4579B">
        <w:t xml:space="preserve">call </w:t>
      </w:r>
      <w:r w:rsidR="00E97F56" w:rsidRPr="00C4579B">
        <w:t xml:space="preserve">based </w:t>
      </w:r>
      <w:r w:rsidR="00E813FA" w:rsidRPr="00C4579B">
        <w:t>service where</w:t>
      </w:r>
      <w:r w:rsidR="00E97F56" w:rsidRPr="00C4579B">
        <w:t>by</w:t>
      </w:r>
      <w:r w:rsidR="00E813FA" w:rsidRPr="00C4579B">
        <w:t xml:space="preserve"> a private individual who wishes to go somewhere </w:t>
      </w:r>
      <w:r w:rsidR="00E97F56" w:rsidRPr="00C4579B">
        <w:t xml:space="preserve">simply </w:t>
      </w:r>
      <w:r w:rsidR="00E813FA" w:rsidRPr="00C4579B">
        <w:t xml:space="preserve">orders either a regular taxi or a specially adapted vehicle to pick up and drive </w:t>
      </w:r>
      <w:r w:rsidR="00E97F56" w:rsidRPr="00C4579B">
        <w:t>him or her to a certain pre-</w:t>
      </w:r>
      <w:r w:rsidR="00E813FA" w:rsidRPr="00C4579B">
        <w:t xml:space="preserve">agreed upon location, usually a short or medium short distance away. The Act specifically mandates every Swedish municipality </w:t>
      </w:r>
      <w:r w:rsidR="00E97F56" w:rsidRPr="00C4579B">
        <w:t>to</w:t>
      </w:r>
      <w:r w:rsidR="00E813FA" w:rsidRPr="00C4579B">
        <w:t xml:space="preserve"> provide its </w:t>
      </w:r>
      <w:r w:rsidR="00322D2D" w:rsidRPr="00C4579B">
        <w:t>citizens</w:t>
      </w:r>
      <w:r w:rsidR="00E813FA" w:rsidRPr="00C4579B">
        <w:t xml:space="preserve"> with special transport services of good quality. </w:t>
      </w:r>
      <w:r w:rsidR="00647D75" w:rsidRPr="00C4579B">
        <w:t>M</w:t>
      </w:r>
      <w:r w:rsidR="00E813FA" w:rsidRPr="00C4579B">
        <w:t xml:space="preserve">unicipalities may commission the county or a private enterprise to coordinate and provide the services, which they frequently do. </w:t>
      </w:r>
      <w:r w:rsidR="00647D75" w:rsidRPr="00C4579B">
        <w:t>Nevertheless</w:t>
      </w:r>
      <w:r w:rsidR="00E813FA" w:rsidRPr="00C4579B">
        <w:t xml:space="preserve">, the respective municipality always carries the final responsibility towards the private individual for providing </w:t>
      </w:r>
      <w:r w:rsidR="00647D75" w:rsidRPr="00C4579B">
        <w:t xml:space="preserve">the </w:t>
      </w:r>
      <w:r w:rsidR="00E813FA" w:rsidRPr="00C4579B">
        <w:t>services.</w:t>
      </w:r>
    </w:p>
    <w:p w:rsidR="00E813FA" w:rsidRPr="00C4579B" w:rsidRDefault="00E813FA" w:rsidP="00D36C98">
      <w:pPr>
        <w:spacing w:after="360" w:line="360" w:lineRule="auto"/>
        <w:jc w:val="both"/>
      </w:pPr>
      <w:r w:rsidRPr="00C4579B">
        <w:t>The most frequently utilized means of transportation in Sweden for people both with and without disabilities is the car</w:t>
      </w:r>
      <w:r w:rsidR="00B26997" w:rsidRPr="00C4579B">
        <w:t>. T</w:t>
      </w:r>
      <w:r w:rsidR="000A47F2" w:rsidRPr="00C4579B">
        <w:t xml:space="preserve">he </w:t>
      </w:r>
      <w:r w:rsidRPr="00C4579B">
        <w:t xml:space="preserve">majority of people </w:t>
      </w:r>
      <w:r w:rsidR="00647D75" w:rsidRPr="00C4579B">
        <w:t xml:space="preserve">who </w:t>
      </w:r>
      <w:r w:rsidRPr="00C4579B">
        <w:t xml:space="preserve">have no problems </w:t>
      </w:r>
      <w:r w:rsidR="00647D75" w:rsidRPr="00C4579B">
        <w:t xml:space="preserve">in </w:t>
      </w:r>
      <w:r w:rsidRPr="00C4579B">
        <w:t xml:space="preserve">using </w:t>
      </w:r>
      <w:r w:rsidR="00B26997" w:rsidRPr="00C4579B">
        <w:t>public transport</w:t>
      </w:r>
      <w:r w:rsidR="000A47F2" w:rsidRPr="00C4579B">
        <w:t xml:space="preserve"> still tend to </w:t>
      </w:r>
      <w:r w:rsidR="00A865D8" w:rsidRPr="00C4579B">
        <w:t>favor</w:t>
      </w:r>
      <w:r w:rsidR="000A47F2" w:rsidRPr="00C4579B">
        <w:t xml:space="preserve"> the car</w:t>
      </w:r>
      <w:r w:rsidRPr="00C4579B">
        <w:t xml:space="preserve">. People with severe visual impairments and </w:t>
      </w:r>
      <w:r w:rsidR="00D372FA" w:rsidRPr="00C4579B">
        <w:t xml:space="preserve">severe mobility impairments are </w:t>
      </w:r>
      <w:r w:rsidRPr="00C4579B">
        <w:t xml:space="preserve">among those </w:t>
      </w:r>
      <w:r w:rsidR="00D372FA" w:rsidRPr="00C4579B">
        <w:t xml:space="preserve">groups </w:t>
      </w:r>
      <w:r w:rsidRPr="00C4579B">
        <w:t>who use general public transport</w:t>
      </w:r>
      <w:r w:rsidR="00647D75" w:rsidRPr="00C4579B">
        <w:t xml:space="preserve"> only rarely</w:t>
      </w:r>
      <w:r w:rsidR="0080031B" w:rsidRPr="00C4579B">
        <w:t>, with t</w:t>
      </w:r>
      <w:r w:rsidR="00647D75" w:rsidRPr="00C4579B">
        <w:t xml:space="preserve">hose </w:t>
      </w:r>
      <w:r w:rsidRPr="00C4579B">
        <w:t>with multiple impairments tend</w:t>
      </w:r>
      <w:r w:rsidR="0080031B" w:rsidRPr="00C4579B">
        <w:t>ing</w:t>
      </w:r>
      <w:r w:rsidRPr="00C4579B">
        <w:t xml:space="preserve"> to use </w:t>
      </w:r>
      <w:r w:rsidR="0080031B" w:rsidRPr="00C4579B">
        <w:t>it</w:t>
      </w:r>
      <w:r w:rsidRPr="00C4579B">
        <w:t xml:space="preserve"> very rarely, if at all. </w:t>
      </w:r>
      <w:r w:rsidR="000A47F2" w:rsidRPr="00C4579B">
        <w:t xml:space="preserve">The frequency of </w:t>
      </w:r>
      <w:r w:rsidRPr="00C4579B">
        <w:t>impairments increase</w:t>
      </w:r>
      <w:r w:rsidR="00647D75" w:rsidRPr="00C4579B">
        <w:t>s</w:t>
      </w:r>
      <w:r w:rsidRPr="00C4579B">
        <w:t xml:space="preserve"> with age</w:t>
      </w:r>
      <w:r w:rsidR="0080031B" w:rsidRPr="00C4579B">
        <w:t xml:space="preserve"> and</w:t>
      </w:r>
      <w:r w:rsidR="002F5D91" w:rsidRPr="00C4579B">
        <w:t>, as a result</w:t>
      </w:r>
      <w:r w:rsidR="00442F27" w:rsidRPr="00C4579B">
        <w:t>,</w:t>
      </w:r>
      <w:r w:rsidR="0080031B" w:rsidRPr="00C4579B">
        <w:t xml:space="preserve"> </w:t>
      </w:r>
      <w:r w:rsidR="00647D75" w:rsidRPr="00C4579B">
        <w:t>the</w:t>
      </w:r>
      <w:r w:rsidRPr="00C4579B">
        <w:t xml:space="preserve"> majority </w:t>
      </w:r>
      <w:r w:rsidR="009567E1" w:rsidRPr="00C4579B">
        <w:t xml:space="preserve">of people with multiple impairments </w:t>
      </w:r>
      <w:r w:rsidRPr="00C4579B">
        <w:t>are elderly</w:t>
      </w:r>
      <w:r w:rsidR="002F5D91" w:rsidRPr="00C4579B">
        <w:t>. Because women live longer than men, a large majority are women. I</w:t>
      </w:r>
      <w:r w:rsidR="0080031B" w:rsidRPr="00C4579B">
        <w:t>n practice, f</w:t>
      </w:r>
      <w:r w:rsidR="002B4EFE" w:rsidRPr="00C4579B">
        <w:t>or several</w:t>
      </w:r>
      <w:r w:rsidR="00293D3B" w:rsidRPr="00C4579B">
        <w:t xml:space="preserve"> diverse groups</w:t>
      </w:r>
      <w:r w:rsidR="002F5D91" w:rsidRPr="00C4579B">
        <w:t>,</w:t>
      </w:r>
      <w:r w:rsidRPr="00C4579B">
        <w:t xml:space="preserve"> </w:t>
      </w:r>
      <w:r w:rsidR="0080031B" w:rsidRPr="00C4579B">
        <w:t xml:space="preserve">the </w:t>
      </w:r>
      <w:r w:rsidRPr="00C4579B">
        <w:t xml:space="preserve">special public transport is the </w:t>
      </w:r>
      <w:r w:rsidR="00E83B16" w:rsidRPr="00C4579B">
        <w:t>primary</w:t>
      </w:r>
      <w:r w:rsidR="002F5D91" w:rsidRPr="00C4579B">
        <w:t>, and sometimes only,</w:t>
      </w:r>
      <w:r w:rsidR="00E83B16" w:rsidRPr="00C4579B">
        <w:t xml:space="preserve"> </w:t>
      </w:r>
      <w:r w:rsidR="000152DC" w:rsidRPr="00C4579B">
        <w:t>option</w:t>
      </w:r>
      <w:r w:rsidRPr="00C4579B">
        <w:t xml:space="preserve"> when travelling short or medium short distances (</w:t>
      </w:r>
      <w:proofErr w:type="spellStart"/>
      <w:r w:rsidRPr="00C4579B">
        <w:rPr>
          <w:rStyle w:val="FootnoteTextChar"/>
        </w:rPr>
        <w:t>Davidsson</w:t>
      </w:r>
      <w:proofErr w:type="spellEnd"/>
      <w:r w:rsidRPr="00C4579B">
        <w:rPr>
          <w:rStyle w:val="FootnoteTextChar"/>
        </w:rPr>
        <w:t xml:space="preserve"> 2001).</w:t>
      </w:r>
    </w:p>
    <w:p w:rsidR="00FB47A5" w:rsidRPr="00C4579B" w:rsidRDefault="00D372FA" w:rsidP="00D36C98">
      <w:pPr>
        <w:spacing w:after="360" w:line="360" w:lineRule="auto"/>
        <w:jc w:val="both"/>
      </w:pPr>
      <w:r w:rsidRPr="00C4579B">
        <w:t>Swedish disability policy, informed and influenced by EU disability policy, is increasingly focused on mainstreaming the transport sector. In the disability context this means making the general public means of transportation accessible and accommodating for as many people as possible. Key notions a</w:t>
      </w:r>
      <w:r w:rsidR="00B6726D" w:rsidRPr="00C4579B">
        <w:t>re ‘Design for all’ and ‘</w:t>
      </w:r>
      <w:r w:rsidRPr="00C4579B">
        <w:t>Universal design</w:t>
      </w:r>
      <w:r w:rsidR="00B6726D" w:rsidRPr="00C4579B">
        <w:t>’</w:t>
      </w:r>
      <w:r w:rsidRPr="00C4579B">
        <w:t xml:space="preserve"> (Prop. 1999/2000:79, Skr. 2002/03:25, SOU 2003:87:55–63, Skr. 2005/06:110, Prop. 2008/09:93, </w:t>
      </w:r>
      <w:r w:rsidRPr="00C4579B">
        <w:rPr>
          <w:rStyle w:val="FootnoteTextChar"/>
        </w:rPr>
        <w:t xml:space="preserve">von </w:t>
      </w:r>
      <w:proofErr w:type="spellStart"/>
      <w:r w:rsidRPr="00C4579B">
        <w:rPr>
          <w:rStyle w:val="FootnoteTextChar"/>
        </w:rPr>
        <w:t>Axelson</w:t>
      </w:r>
      <w:proofErr w:type="spellEnd"/>
      <w:r w:rsidRPr="00C4579B">
        <w:rPr>
          <w:rStyle w:val="FootnoteTextChar"/>
        </w:rPr>
        <w:t xml:space="preserve"> 2006:39</w:t>
      </w:r>
      <w:r w:rsidRPr="00C4579B">
        <w:t xml:space="preserve">). </w:t>
      </w:r>
      <w:r w:rsidR="00574B22" w:rsidRPr="00C4579B">
        <w:t xml:space="preserve">Although </w:t>
      </w:r>
      <w:r w:rsidRPr="00C4579B">
        <w:t xml:space="preserve">these mainstreaming efforts are </w:t>
      </w:r>
      <w:r w:rsidR="00C96C90" w:rsidRPr="00C4579B">
        <w:t xml:space="preserve">intended </w:t>
      </w:r>
      <w:r w:rsidRPr="00C4579B">
        <w:t xml:space="preserve">to gradually </w:t>
      </w:r>
      <w:r w:rsidR="00574B22" w:rsidRPr="00C4579B">
        <w:t xml:space="preserve">and progressively </w:t>
      </w:r>
      <w:r w:rsidRPr="00C4579B">
        <w:t xml:space="preserve">widen the group of people that can utilize general public transport, still a number </w:t>
      </w:r>
      <w:r w:rsidR="00574B22" w:rsidRPr="00C4579B">
        <w:t xml:space="preserve">remain </w:t>
      </w:r>
      <w:r w:rsidRPr="00C4579B">
        <w:t xml:space="preserve">effectively barred </w:t>
      </w:r>
      <w:r w:rsidR="00574B22" w:rsidRPr="00C4579B">
        <w:t xml:space="preserve">or hindered </w:t>
      </w:r>
      <w:r w:rsidRPr="00C4579B">
        <w:t xml:space="preserve">from utilizing even </w:t>
      </w:r>
      <w:r w:rsidR="00C96C90" w:rsidRPr="00C4579B">
        <w:t>this</w:t>
      </w:r>
      <w:r w:rsidRPr="00C4579B">
        <w:t xml:space="preserve"> more </w:t>
      </w:r>
      <w:r w:rsidR="00EB05AB" w:rsidRPr="00C4579B">
        <w:t>accessible</w:t>
      </w:r>
      <w:r w:rsidRPr="00C4579B">
        <w:t xml:space="preserve"> general public transport system.</w:t>
      </w:r>
    </w:p>
    <w:p w:rsidR="00D372FA" w:rsidRPr="00C4579B" w:rsidRDefault="00FB47A5" w:rsidP="00D36C98">
      <w:pPr>
        <w:spacing w:after="360" w:line="360" w:lineRule="auto"/>
        <w:jc w:val="both"/>
      </w:pPr>
      <w:r w:rsidRPr="00C4579B">
        <w:lastRenderedPageBreak/>
        <w:t xml:space="preserve">The </w:t>
      </w:r>
      <w:r w:rsidR="00EA3F54" w:rsidRPr="00C4579B">
        <w:t xml:space="preserve">special transport </w:t>
      </w:r>
      <w:r w:rsidRPr="00C4579B">
        <w:t xml:space="preserve">services first became mandatory upon the municipalities through a clause in the Social Services Act in 1982. This affirmed the status of special transport as a social right and put it firmly in the </w:t>
      </w:r>
      <w:r w:rsidR="00DC51C5" w:rsidRPr="00C4579B">
        <w:t>center</w:t>
      </w:r>
      <w:r w:rsidRPr="00C4579B">
        <w:t xml:space="preserve"> of welfare state administration. During the 1990’s disability policies shifted insofar as special transport services were no longer viewed primarily as a social issue but rather as an issue of transportation. Regulation of the services was transferred from</w:t>
      </w:r>
      <w:r w:rsidR="004E01D6" w:rsidRPr="00C4579B">
        <w:t xml:space="preserve"> the Social Services Act in 1997</w:t>
      </w:r>
      <w:r w:rsidRPr="00C4579B">
        <w:t xml:space="preserve"> and supervision of the services was transferred from the National Board of Health and Welfare to the national traffic authorities. </w:t>
      </w:r>
      <w:r w:rsidR="00D372FA" w:rsidRPr="00C4579B">
        <w:t xml:space="preserve">Despite the policy shift the importance of the special transport services for people with disabilities in their daily lives has, </w:t>
      </w:r>
      <w:r w:rsidR="00CC68A7" w:rsidRPr="00C4579B">
        <w:t>of course, not become any less ‘</w:t>
      </w:r>
      <w:r w:rsidR="00D372FA" w:rsidRPr="00C4579B">
        <w:t>social</w:t>
      </w:r>
      <w:r w:rsidR="00CC68A7" w:rsidRPr="00C4579B">
        <w:t>’</w:t>
      </w:r>
      <w:r w:rsidR="00D372FA" w:rsidRPr="00C4579B">
        <w:t>. Howeve</w:t>
      </w:r>
      <w:r w:rsidR="00AD7BFD" w:rsidRPr="00C4579B">
        <w:t xml:space="preserve">r, it is possible that </w:t>
      </w:r>
      <w:r w:rsidR="00D372FA" w:rsidRPr="00C4579B">
        <w:t>moving</w:t>
      </w:r>
      <w:r w:rsidR="00AD7BFD" w:rsidRPr="00C4579B">
        <w:t xml:space="preserve"> away from</w:t>
      </w:r>
      <w:r w:rsidR="00D372FA" w:rsidRPr="00C4579B">
        <w:t xml:space="preserve"> the official social policy context has served to hide the importance of the services </w:t>
      </w:r>
      <w:r w:rsidR="00E421AB" w:rsidRPr="00C4579B">
        <w:t>for such ideological</w:t>
      </w:r>
      <w:r w:rsidR="00D372FA" w:rsidRPr="00C4579B">
        <w:t xml:space="preserve"> values as independent living and equal participation in society (</w:t>
      </w:r>
      <w:proofErr w:type="spellStart"/>
      <w:r w:rsidR="00D372FA" w:rsidRPr="00C4579B">
        <w:t>Vägverket</w:t>
      </w:r>
      <w:proofErr w:type="spellEnd"/>
      <w:r w:rsidR="00D372FA" w:rsidRPr="00C4579B">
        <w:t xml:space="preserve"> 2001:6).</w:t>
      </w:r>
    </w:p>
    <w:p w:rsidR="00D372FA" w:rsidRPr="00C4579B" w:rsidRDefault="00D372FA" w:rsidP="00D36C98">
      <w:pPr>
        <w:spacing w:after="360" w:line="360" w:lineRule="auto"/>
        <w:jc w:val="both"/>
      </w:pPr>
    </w:p>
    <w:p w:rsidR="00D372FA" w:rsidRPr="00C4579B" w:rsidRDefault="006E2A2E" w:rsidP="00D36C98">
      <w:pPr>
        <w:pStyle w:val="Title"/>
        <w:spacing w:before="0" w:after="360" w:line="360" w:lineRule="auto"/>
        <w:jc w:val="left"/>
        <w:rPr>
          <w:rFonts w:ascii="Times New Roman" w:hAnsi="Times New Roman"/>
          <w:sz w:val="24"/>
          <w:szCs w:val="24"/>
        </w:rPr>
      </w:pPr>
      <w:r w:rsidRPr="00C4579B">
        <w:rPr>
          <w:rFonts w:ascii="Times New Roman" w:hAnsi="Times New Roman"/>
          <w:sz w:val="24"/>
          <w:szCs w:val="24"/>
        </w:rPr>
        <w:t>Constructing the Subject – T</w:t>
      </w:r>
      <w:r w:rsidR="0013552D" w:rsidRPr="00C4579B">
        <w:rPr>
          <w:rFonts w:ascii="Times New Roman" w:hAnsi="Times New Roman"/>
          <w:sz w:val="24"/>
          <w:szCs w:val="24"/>
        </w:rPr>
        <w:t>he Normality in</w:t>
      </w:r>
      <w:r w:rsidR="00D372FA" w:rsidRPr="00C4579B">
        <w:rPr>
          <w:rFonts w:ascii="Times New Roman" w:hAnsi="Times New Roman"/>
          <w:sz w:val="24"/>
          <w:szCs w:val="24"/>
        </w:rPr>
        <w:t xml:space="preserve"> Special Transport Services</w:t>
      </w:r>
      <w:r w:rsidR="00664E12" w:rsidRPr="00C4579B">
        <w:rPr>
          <w:rFonts w:ascii="Times New Roman" w:hAnsi="Times New Roman"/>
          <w:sz w:val="24"/>
          <w:szCs w:val="24"/>
        </w:rPr>
        <w:t xml:space="preserve"> Law</w:t>
      </w:r>
    </w:p>
    <w:p w:rsidR="007A5A74" w:rsidRPr="00C4579B" w:rsidRDefault="000A54A8" w:rsidP="00D36C98">
      <w:pPr>
        <w:spacing w:after="360" w:line="360" w:lineRule="auto"/>
        <w:jc w:val="both"/>
      </w:pPr>
      <w:r w:rsidRPr="00C4579B">
        <w:t>N</w:t>
      </w:r>
      <w:r w:rsidR="00EE0556" w:rsidRPr="00C4579B">
        <w:t xml:space="preserve">ot everyone may utilize the </w:t>
      </w:r>
      <w:r w:rsidR="00AD7BFD" w:rsidRPr="00C4579B">
        <w:t xml:space="preserve">special transport </w:t>
      </w:r>
      <w:r w:rsidR="00EE0556" w:rsidRPr="00C4579B">
        <w:t xml:space="preserve">services. </w:t>
      </w:r>
      <w:r w:rsidR="006F62C1" w:rsidRPr="00C4579B">
        <w:t>First there is a screening process to determine if a person is at all eligible for services, that is, the worthiness of each individual to receive services is weighed and measured</w:t>
      </w:r>
      <w:r w:rsidR="00B41724" w:rsidRPr="00C4579B">
        <w:t>.</w:t>
      </w:r>
      <w:r w:rsidR="006F62C1" w:rsidRPr="00C4579B">
        <w:t xml:space="preserve"> </w:t>
      </w:r>
      <w:r w:rsidR="00B41724" w:rsidRPr="00C4579B">
        <w:t>T</w:t>
      </w:r>
      <w:r w:rsidR="00EE0556" w:rsidRPr="00C4579B">
        <w:t>he Special Transport Services Act</w:t>
      </w:r>
      <w:r w:rsidR="00B41724" w:rsidRPr="00C4579B">
        <w:t xml:space="preserve"> offers certain legal criteria</w:t>
      </w:r>
      <w:r w:rsidR="006F62C1" w:rsidRPr="00C4579B">
        <w:t xml:space="preserve">. </w:t>
      </w:r>
      <w:r w:rsidR="007F6EF3" w:rsidRPr="00C4579B">
        <w:t>Entitlements under the Act are only given to persons with impairments that are considered to be</w:t>
      </w:r>
      <w:r w:rsidR="00071413" w:rsidRPr="00C4579B">
        <w:t xml:space="preserve"> permanent</w:t>
      </w:r>
      <w:r w:rsidR="00764F97" w:rsidRPr="00C4579B">
        <w:t xml:space="preserve"> and</w:t>
      </w:r>
      <w:r w:rsidR="007F6EF3" w:rsidRPr="00C4579B">
        <w:t xml:space="preserve"> not temporary in nature. </w:t>
      </w:r>
      <w:r w:rsidR="00DB056E" w:rsidRPr="00C4579B">
        <w:t>While the criteria in the Act are given as written at the moment of legislation, the criteria in practice still evolve, adapt and change</w:t>
      </w:r>
      <w:r w:rsidR="00000FF7" w:rsidRPr="00C4579B">
        <w:t xml:space="preserve"> in a manner that is typical of the</w:t>
      </w:r>
      <w:r w:rsidR="00DB056E" w:rsidRPr="00C4579B">
        <w:t xml:space="preserve"> fra</w:t>
      </w:r>
      <w:r w:rsidR="00000FF7" w:rsidRPr="00C4579B">
        <w:t>mework law</w:t>
      </w:r>
      <w:r w:rsidR="00DB056E" w:rsidRPr="00C4579B">
        <w:t xml:space="preserve">. </w:t>
      </w:r>
      <w:r w:rsidR="00C23FDF" w:rsidRPr="00C4579B">
        <w:t xml:space="preserve">Over </w:t>
      </w:r>
      <w:r w:rsidR="00DB056E" w:rsidRPr="00C4579B">
        <w:t>time the difficulties in obtaining</w:t>
      </w:r>
      <w:r w:rsidR="00C23FDF" w:rsidRPr="00C4579B">
        <w:t xml:space="preserve"> an entitlement have increased (SOU 2003:87:87</w:t>
      </w:r>
      <w:r w:rsidR="006063F7" w:rsidRPr="00C4579B">
        <w:t>–</w:t>
      </w:r>
      <w:r w:rsidR="00C23FDF" w:rsidRPr="00C4579B">
        <w:t xml:space="preserve">88). </w:t>
      </w:r>
      <w:r w:rsidR="006F62C1" w:rsidRPr="00C4579B">
        <w:t xml:space="preserve">If an individual clears the screening </w:t>
      </w:r>
      <w:r w:rsidR="00D3023A" w:rsidRPr="00C4579B">
        <w:t xml:space="preserve">process </w:t>
      </w:r>
      <w:r w:rsidR="006F62C1" w:rsidRPr="00C4579B">
        <w:t>and get</w:t>
      </w:r>
      <w:r w:rsidR="0026711C" w:rsidRPr="00C4579B">
        <w:t>s an entitlement to</w:t>
      </w:r>
      <w:r w:rsidR="006F62C1" w:rsidRPr="00C4579B">
        <w:t xml:space="preserve"> services</w:t>
      </w:r>
      <w:r w:rsidR="00EE0556" w:rsidRPr="00C4579B">
        <w:t>,</w:t>
      </w:r>
      <w:r w:rsidR="006F62C1" w:rsidRPr="00C4579B">
        <w:t xml:space="preserve"> then there </w:t>
      </w:r>
      <w:r w:rsidR="00C96C90" w:rsidRPr="00C4579B">
        <w:t xml:space="preserve">is </w:t>
      </w:r>
      <w:r w:rsidR="006F62C1" w:rsidRPr="00C4579B">
        <w:t>virtually no end to the possible limitations and conditions that the</w:t>
      </w:r>
      <w:r w:rsidR="00EE0556" w:rsidRPr="00C4579B">
        <w:t xml:space="preserve"> responsible authority</w:t>
      </w:r>
      <w:r w:rsidR="006F62C1" w:rsidRPr="00C4579B">
        <w:t xml:space="preserve"> may impose. </w:t>
      </w:r>
      <w:r w:rsidR="00AC0CBA" w:rsidRPr="00C4579B">
        <w:t xml:space="preserve">This follows from </w:t>
      </w:r>
      <w:r w:rsidR="007F6EF3" w:rsidRPr="00C4579B">
        <w:t xml:space="preserve">clause 9 of the Act which gives the </w:t>
      </w:r>
      <w:proofErr w:type="gramStart"/>
      <w:r w:rsidR="007F6EF3" w:rsidRPr="00C4579B">
        <w:t>municipalities</w:t>
      </w:r>
      <w:proofErr w:type="gramEnd"/>
      <w:r w:rsidR="007F6EF3" w:rsidRPr="00C4579B">
        <w:t xml:space="preserve"> wide latitude in pr</w:t>
      </w:r>
      <w:r w:rsidR="00C96C90" w:rsidRPr="00C4579B">
        <w:t>e</w:t>
      </w:r>
      <w:r w:rsidR="007F6EF3" w:rsidRPr="00C4579B">
        <w:t xml:space="preserve">scribing which means of travel are allowed, which areas </w:t>
      </w:r>
      <w:r w:rsidR="00C96C90" w:rsidRPr="00C4579B">
        <w:t>are included, and other matters.</w:t>
      </w:r>
      <w:r w:rsidR="007F6EF3" w:rsidRPr="00C4579B">
        <w:t xml:space="preserve"> </w:t>
      </w:r>
      <w:r w:rsidR="00EE0556" w:rsidRPr="00C4579B">
        <w:t xml:space="preserve">For example, </w:t>
      </w:r>
      <w:r w:rsidR="007F6EF3" w:rsidRPr="00C4579B">
        <w:t xml:space="preserve">entitled </w:t>
      </w:r>
      <w:r w:rsidR="00EE0556" w:rsidRPr="00C4579B">
        <w:t>p</w:t>
      </w:r>
      <w:r w:rsidR="007F6EF3" w:rsidRPr="00C4579B">
        <w:t>ersons</w:t>
      </w:r>
      <w:r w:rsidR="006F62C1" w:rsidRPr="00C4579B">
        <w:t xml:space="preserve"> are often not free to decide when to </w:t>
      </w:r>
      <w:r w:rsidR="00C96C90" w:rsidRPr="00C4579B">
        <w:t>travel</w:t>
      </w:r>
      <w:r w:rsidR="006F62C1" w:rsidRPr="00C4579B">
        <w:t>, but may be limited to certain hours of the day or</w:t>
      </w:r>
      <w:r w:rsidR="007F6EF3" w:rsidRPr="00C4579B">
        <w:t xml:space="preserve"> </w:t>
      </w:r>
      <w:r w:rsidR="00C055ED" w:rsidRPr="00C4579B">
        <w:t xml:space="preserve">even certain days of the week. </w:t>
      </w:r>
      <w:r w:rsidR="0050127D" w:rsidRPr="00C4579B">
        <w:t>From an individual</w:t>
      </w:r>
      <w:r w:rsidR="00A67187" w:rsidRPr="00C4579B">
        <w:t xml:space="preserve"> </w:t>
      </w:r>
      <w:r w:rsidR="00C852CC" w:rsidRPr="00C4579B">
        <w:t xml:space="preserve">autonomy </w:t>
      </w:r>
      <w:r w:rsidR="00A67187" w:rsidRPr="00C4579B">
        <w:t>perspectiv</w:t>
      </w:r>
      <w:r w:rsidR="00C852CC" w:rsidRPr="00C4579B">
        <w:t>e the situation</w:t>
      </w:r>
      <w:r w:rsidR="00162FA2" w:rsidRPr="00C4579B">
        <w:t xml:space="preserve"> appears to slowly deteriorate</w:t>
      </w:r>
      <w:r w:rsidR="00DA5140" w:rsidRPr="00C4579B">
        <w:t xml:space="preserve"> as individual</w:t>
      </w:r>
      <w:r w:rsidR="00A67187" w:rsidRPr="00C4579B">
        <w:t xml:space="preserve"> needs are</w:t>
      </w:r>
      <w:r w:rsidR="00DA5140" w:rsidRPr="00C4579B">
        <w:t xml:space="preserve"> </w:t>
      </w:r>
      <w:r w:rsidR="00F879F6" w:rsidRPr="00C4579B">
        <w:t>subordinated to</w:t>
      </w:r>
      <w:r w:rsidR="00A67187" w:rsidRPr="00C4579B">
        <w:t xml:space="preserve"> fiscal and </w:t>
      </w:r>
      <w:r w:rsidR="00A67187" w:rsidRPr="00C4579B">
        <w:lastRenderedPageBreak/>
        <w:t>administ</w:t>
      </w:r>
      <w:r w:rsidR="00F879F6" w:rsidRPr="00C4579B">
        <w:t>rative rationalities</w:t>
      </w:r>
      <w:r w:rsidR="007B47A7" w:rsidRPr="00C4579B">
        <w:t>,</w:t>
      </w:r>
      <w:r w:rsidR="000415EF" w:rsidRPr="00C4579B">
        <w:t xml:space="preserve"> limiting </w:t>
      </w:r>
      <w:r w:rsidR="00DA5140" w:rsidRPr="00C4579B">
        <w:t xml:space="preserve">both </w:t>
      </w:r>
      <w:r w:rsidR="00DB056E" w:rsidRPr="00C4579B">
        <w:t xml:space="preserve">access </w:t>
      </w:r>
      <w:r w:rsidR="00DA5140" w:rsidRPr="00C4579B">
        <w:t xml:space="preserve">to </w:t>
      </w:r>
      <w:r w:rsidR="00DB056E" w:rsidRPr="00C4579B">
        <w:t>and personal</w:t>
      </w:r>
      <w:r w:rsidR="000415EF" w:rsidRPr="00C4579B">
        <w:t xml:space="preserve"> influence over services</w:t>
      </w:r>
      <w:r w:rsidR="00A67187" w:rsidRPr="00C4579B">
        <w:t xml:space="preserve"> (</w:t>
      </w:r>
      <w:proofErr w:type="spellStart"/>
      <w:r w:rsidR="00A67187" w:rsidRPr="00C4579B">
        <w:t>Ekensteen</w:t>
      </w:r>
      <w:proofErr w:type="spellEnd"/>
      <w:r w:rsidR="00A67187" w:rsidRPr="00C4579B">
        <w:t xml:space="preserve"> 2006:75–76).</w:t>
      </w:r>
    </w:p>
    <w:p w:rsidR="00BB6B7F" w:rsidRPr="00C4579B" w:rsidRDefault="009E2D54" w:rsidP="00D36C98">
      <w:pPr>
        <w:spacing w:after="360" w:line="360" w:lineRule="auto"/>
        <w:jc w:val="both"/>
      </w:pPr>
      <w:r w:rsidRPr="00C4579B">
        <w:t>T</w:t>
      </w:r>
      <w:r w:rsidR="006F62C1" w:rsidRPr="00C4579B">
        <w:t>he number of trips allowed over a cer</w:t>
      </w:r>
      <w:r w:rsidRPr="00C4579B">
        <w:t xml:space="preserve">tain </w:t>
      </w:r>
      <w:r w:rsidR="00D36B65" w:rsidRPr="00C4579B">
        <w:t xml:space="preserve">period </w:t>
      </w:r>
      <w:r w:rsidRPr="00C4579B">
        <w:t xml:space="preserve">may be </w:t>
      </w:r>
      <w:r w:rsidR="00D36B65" w:rsidRPr="00C4579B">
        <w:t xml:space="preserve">also </w:t>
      </w:r>
      <w:r w:rsidRPr="00C4579B">
        <w:t>limited. Further, p</w:t>
      </w:r>
      <w:r w:rsidR="006F62C1" w:rsidRPr="00C4579B">
        <w:t xml:space="preserve">eople </w:t>
      </w:r>
      <w:r w:rsidR="00C96C90" w:rsidRPr="00C4579B">
        <w:t xml:space="preserve">are </w:t>
      </w:r>
      <w:r w:rsidR="006F62C1" w:rsidRPr="00C4579B">
        <w:t xml:space="preserve">often not </w:t>
      </w:r>
      <w:r w:rsidR="00C96C90" w:rsidRPr="00C4579B">
        <w:t xml:space="preserve">permitted to </w:t>
      </w:r>
      <w:r w:rsidR="006F62C1" w:rsidRPr="00C4579B">
        <w:t xml:space="preserve">decide </w:t>
      </w:r>
      <w:r w:rsidR="004B59C8" w:rsidRPr="00C4579B">
        <w:t xml:space="preserve">for themselves </w:t>
      </w:r>
      <w:r w:rsidR="006F62C1" w:rsidRPr="00C4579B">
        <w:t xml:space="preserve">who to </w:t>
      </w:r>
      <w:r w:rsidR="00C96C90" w:rsidRPr="00C4579B">
        <w:t xml:space="preserve">travel </w:t>
      </w:r>
      <w:r w:rsidR="006F62C1" w:rsidRPr="00C4579B">
        <w:t>with</w:t>
      </w:r>
      <w:r w:rsidR="004B59C8" w:rsidRPr="00C4579B">
        <w:t xml:space="preserve"> (Prop. 2005/06:160:243)</w:t>
      </w:r>
      <w:r w:rsidR="006F62C1" w:rsidRPr="00C4579B">
        <w:t xml:space="preserve">. If a </w:t>
      </w:r>
      <w:r w:rsidR="00AD7BFD" w:rsidRPr="00C4579B">
        <w:t>traveler</w:t>
      </w:r>
      <w:r w:rsidR="006F62C1" w:rsidRPr="00C4579B">
        <w:t xml:space="preserve"> wants to go with a spouse or a partner, th</w:t>
      </w:r>
      <w:r w:rsidR="00D36B65" w:rsidRPr="00C4579B">
        <w:t>is</w:t>
      </w:r>
      <w:r w:rsidR="006F62C1" w:rsidRPr="00C4579B">
        <w:t xml:space="preserve"> may not be allowed. </w:t>
      </w:r>
      <w:r w:rsidR="00D36B65" w:rsidRPr="00C4579B">
        <w:t>Similarly, t</w:t>
      </w:r>
      <w:r w:rsidR="006F62C1" w:rsidRPr="00C4579B">
        <w:t>o</w:t>
      </w:r>
      <w:r w:rsidR="004B59C8" w:rsidRPr="00C4579B">
        <w:t xml:space="preserve"> go with one’s children is sometimes</w:t>
      </w:r>
      <w:r w:rsidR="006F62C1" w:rsidRPr="00C4579B">
        <w:t xml:space="preserve"> allowed</w:t>
      </w:r>
      <w:r w:rsidR="004B59C8" w:rsidRPr="00C4579B">
        <w:t>, sometimes not, and sometimes only if the child is</w:t>
      </w:r>
      <w:r w:rsidR="006F62C1" w:rsidRPr="00C4579B">
        <w:t xml:space="preserve"> younger than some arbitrary age limit. </w:t>
      </w:r>
      <w:r w:rsidR="00065BEA" w:rsidRPr="00C4579B">
        <w:t>T</w:t>
      </w:r>
      <w:r w:rsidR="00D36B65" w:rsidRPr="00C4579B">
        <w:t>o</w:t>
      </w:r>
      <w:r w:rsidR="006F62C1" w:rsidRPr="00C4579B">
        <w:t xml:space="preserve"> go together with someone that has not cleared the screening process, for</w:t>
      </w:r>
      <w:r w:rsidR="001F2CD2" w:rsidRPr="00C4579B">
        <w:t xml:space="preserve"> example a friend or co</w:t>
      </w:r>
      <w:r w:rsidR="00D36B65" w:rsidRPr="00C4579B">
        <w:t>-</w:t>
      </w:r>
      <w:r w:rsidR="00EE0556" w:rsidRPr="00C4579B">
        <w:t>worker</w:t>
      </w:r>
      <w:r w:rsidR="006F62C1" w:rsidRPr="00C4579B">
        <w:t>,</w:t>
      </w:r>
      <w:r w:rsidR="00EE0556" w:rsidRPr="00C4579B">
        <w:t xml:space="preserve"> is </w:t>
      </w:r>
      <w:r w:rsidR="00601465" w:rsidRPr="00C4579B">
        <w:t xml:space="preserve">often </w:t>
      </w:r>
      <w:r w:rsidR="007D64D8" w:rsidRPr="00C4579B">
        <w:t>either</w:t>
      </w:r>
      <w:r w:rsidR="006F62C1" w:rsidRPr="00C4579B">
        <w:t xml:space="preserve"> impossible or </w:t>
      </w:r>
      <w:r w:rsidR="00D36B65" w:rsidRPr="00C4579B">
        <w:t xml:space="preserve">requires </w:t>
      </w:r>
      <w:r w:rsidR="00065BEA" w:rsidRPr="00C4579B">
        <w:t>t</w:t>
      </w:r>
      <w:r w:rsidR="00D36B65" w:rsidRPr="00C4579B">
        <w:t xml:space="preserve">his </w:t>
      </w:r>
      <w:r w:rsidR="006F62C1" w:rsidRPr="00C4579B">
        <w:t>other person to pay a hefty price</w:t>
      </w:r>
      <w:r w:rsidR="00EE0556" w:rsidRPr="00C4579B">
        <w:t xml:space="preserve"> for the trip</w:t>
      </w:r>
      <w:r w:rsidR="00065BEA" w:rsidRPr="00C4579B">
        <w:t>, thereby discouraging this person from doing so</w:t>
      </w:r>
      <w:r w:rsidR="00157940" w:rsidRPr="00C4579B">
        <w:t xml:space="preserve">. </w:t>
      </w:r>
      <w:r w:rsidR="00EE0556" w:rsidRPr="00C4579B">
        <w:t>People may not even always</w:t>
      </w:r>
      <w:r w:rsidR="006F62C1" w:rsidRPr="00C4579B">
        <w:t xml:space="preserve"> be allowed to decide where to go</w:t>
      </w:r>
      <w:r w:rsidR="00EE0556" w:rsidRPr="00C4579B">
        <w:t>,</w:t>
      </w:r>
      <w:r w:rsidR="006F62C1" w:rsidRPr="00C4579B">
        <w:t xml:space="preserve"> as there are often several destinations that are off limits for various reasons. For example, </w:t>
      </w:r>
      <w:r w:rsidR="00D36B65" w:rsidRPr="00C4579B">
        <w:t>if</w:t>
      </w:r>
      <w:r w:rsidR="006F62C1" w:rsidRPr="00C4579B">
        <w:t xml:space="preserve"> the destination is on the other side of some administrative border (for instance in another municipality), or </w:t>
      </w:r>
      <w:r w:rsidR="002E6CD4" w:rsidRPr="00C4579B">
        <w:t>an</w:t>
      </w:r>
      <w:r w:rsidR="006F62C1" w:rsidRPr="00C4579B">
        <w:t>other traffic provider is tasked with providing special public transport to a c</w:t>
      </w:r>
      <w:r w:rsidR="0077465A" w:rsidRPr="00C4579B">
        <w:t>ertain destination (such as</w:t>
      </w:r>
      <w:r w:rsidR="00EE0556" w:rsidRPr="00C4579B">
        <w:t xml:space="preserve"> a </w:t>
      </w:r>
      <w:r w:rsidR="009B7BFA" w:rsidRPr="00C4579B">
        <w:t>hospital or a dentist’</w:t>
      </w:r>
      <w:r w:rsidR="0006678C" w:rsidRPr="00C4579B">
        <w:t>s clinic)</w:t>
      </w:r>
      <w:r w:rsidR="006F62C1" w:rsidRPr="00C4579B">
        <w:t xml:space="preserve"> the </w:t>
      </w:r>
      <w:r w:rsidR="00EE0556" w:rsidRPr="00C4579B">
        <w:t>special transport</w:t>
      </w:r>
      <w:r w:rsidR="006F62C1" w:rsidRPr="00C4579B">
        <w:t xml:space="preserve"> serv</w:t>
      </w:r>
      <w:r w:rsidR="00EE0556" w:rsidRPr="00C4579B">
        <w:t xml:space="preserve">ices </w:t>
      </w:r>
      <w:r w:rsidR="0006678C" w:rsidRPr="00C4579B">
        <w:t>might</w:t>
      </w:r>
      <w:r w:rsidR="002E6CD4" w:rsidRPr="00C4579B">
        <w:t xml:space="preserve"> therefore </w:t>
      </w:r>
      <w:r w:rsidR="00EE0556" w:rsidRPr="00C4579B">
        <w:t>not be allowed to drop off at</w:t>
      </w:r>
      <w:r w:rsidR="006F62C1" w:rsidRPr="00C4579B">
        <w:t xml:space="preserve"> th</w:t>
      </w:r>
      <w:r w:rsidR="002E6CD4" w:rsidRPr="00C4579B">
        <w:t>is</w:t>
      </w:r>
      <w:r w:rsidR="006F62C1" w:rsidRPr="00C4579B">
        <w:t xml:space="preserve"> desti</w:t>
      </w:r>
      <w:r w:rsidR="00703908" w:rsidRPr="00C4579B">
        <w:t>nation (SOU 2003:87:48, 55</w:t>
      </w:r>
      <w:r w:rsidR="006063F7" w:rsidRPr="00C4579B">
        <w:t>–</w:t>
      </w:r>
      <w:r w:rsidR="00703908" w:rsidRPr="00C4579B">
        <w:t>63, 75</w:t>
      </w:r>
      <w:r w:rsidR="006063F7" w:rsidRPr="00C4579B">
        <w:t>–</w:t>
      </w:r>
      <w:r w:rsidR="00703908" w:rsidRPr="00C4579B">
        <w:t xml:space="preserve">77). </w:t>
      </w:r>
      <w:r w:rsidR="00601465" w:rsidRPr="00C4579B">
        <w:t>Accordingly</w:t>
      </w:r>
      <w:r w:rsidR="00E348B6" w:rsidRPr="00C4579B">
        <w:t xml:space="preserve">, the legal and administrative </w:t>
      </w:r>
      <w:r w:rsidR="006E44FA" w:rsidRPr="00C4579B">
        <w:t>criteria of the welfare state construct</w:t>
      </w:r>
      <w:r w:rsidR="00E348B6" w:rsidRPr="00C4579B">
        <w:t xml:space="preserve"> boundaries in time and in space for </w:t>
      </w:r>
      <w:r w:rsidR="007D64D8" w:rsidRPr="00C4579B">
        <w:t xml:space="preserve">when and </w:t>
      </w:r>
      <w:r w:rsidR="00E348B6" w:rsidRPr="00C4579B">
        <w:t>where people are allowed to go</w:t>
      </w:r>
      <w:r w:rsidR="006E44FA" w:rsidRPr="00C4579B">
        <w:t>, effectively limiting fr</w:t>
      </w:r>
      <w:r w:rsidR="00066ABD" w:rsidRPr="00C4579B">
        <w:t>eedom of movement i</w:t>
      </w:r>
      <w:r w:rsidR="00E005EB" w:rsidRPr="00C4579B">
        <w:t>n daily life</w:t>
      </w:r>
      <w:r w:rsidR="007D64D8" w:rsidRPr="00C4579B">
        <w:t xml:space="preserve"> for individuals with disabilities</w:t>
      </w:r>
      <w:r w:rsidR="00157940" w:rsidRPr="00C4579B">
        <w:t>.</w:t>
      </w:r>
    </w:p>
    <w:p w:rsidR="00BF16DD" w:rsidRPr="00C4579B" w:rsidRDefault="007D64D8" w:rsidP="00D36C98">
      <w:pPr>
        <w:spacing w:after="360" w:line="360" w:lineRule="auto"/>
        <w:jc w:val="both"/>
      </w:pPr>
      <w:r w:rsidRPr="00C4579B">
        <w:t>An</w:t>
      </w:r>
      <w:r w:rsidR="00BB6B7F" w:rsidRPr="00C4579B">
        <w:t xml:space="preserve"> example of ho</w:t>
      </w:r>
      <w:r w:rsidR="00CE554C" w:rsidRPr="00C4579B">
        <w:t>w the construction of normality</w:t>
      </w:r>
      <w:r w:rsidR="00DA086D" w:rsidRPr="00C4579B">
        <w:t xml:space="preserve"> </w:t>
      </w:r>
      <w:r w:rsidR="00CE554C" w:rsidRPr="00C4579B">
        <w:t>operates</w:t>
      </w:r>
      <w:r w:rsidR="00065BEA" w:rsidRPr="00C4579B">
        <w:t xml:space="preserve"> </w:t>
      </w:r>
      <w:r w:rsidR="00BB6B7F" w:rsidRPr="00C4579B">
        <w:t xml:space="preserve">is the legislative development concerning the power granted to the municipalities </w:t>
      </w:r>
      <w:r w:rsidR="00555446" w:rsidRPr="00C4579B">
        <w:t>under S</w:t>
      </w:r>
      <w:r w:rsidR="00BB6B7F" w:rsidRPr="00C4579B">
        <w:t>ection 9 of the Act to restrict a</w:t>
      </w:r>
      <w:r w:rsidR="00761F18" w:rsidRPr="00C4579B">
        <w:t>nd limit the number of trips during a specified period of time</w:t>
      </w:r>
      <w:r w:rsidR="00BB6B7F" w:rsidRPr="00C4579B">
        <w:t xml:space="preserve">. This municipal practice has been </w:t>
      </w:r>
      <w:r w:rsidR="00794575" w:rsidRPr="00C4579B">
        <w:t>severely criti</w:t>
      </w:r>
      <w:r w:rsidR="00C621DB" w:rsidRPr="00C4579B">
        <w:t>cized</w:t>
      </w:r>
      <w:r w:rsidR="00794575" w:rsidRPr="00C4579B">
        <w:t xml:space="preserve"> by</w:t>
      </w:r>
      <w:r w:rsidR="00BB6B7F" w:rsidRPr="00C4579B">
        <w:t xml:space="preserve"> many disability organizations as it is </w:t>
      </w:r>
      <w:r w:rsidR="00DD0E9C" w:rsidRPr="00C4579B">
        <w:t xml:space="preserve">considered </w:t>
      </w:r>
      <w:r w:rsidR="00BB6B7F" w:rsidRPr="00C4579B">
        <w:t>discriminat</w:t>
      </w:r>
      <w:r w:rsidR="00C621DB" w:rsidRPr="00C4579B">
        <w:t>ory</w:t>
      </w:r>
      <w:r w:rsidR="00BB6B7F" w:rsidRPr="00C4579B">
        <w:t xml:space="preserve"> compared to general public transport and</w:t>
      </w:r>
      <w:r w:rsidR="00C621DB" w:rsidRPr="00C4579B">
        <w:t>, in any event,</w:t>
      </w:r>
      <w:r w:rsidR="00BB6B7F" w:rsidRPr="00C4579B">
        <w:t xml:space="preserve"> the private indi</w:t>
      </w:r>
      <w:r w:rsidR="00774C13" w:rsidRPr="00C4579B">
        <w:t xml:space="preserve">vidual should </w:t>
      </w:r>
      <w:r w:rsidR="00C621DB" w:rsidRPr="00C4579B">
        <w:t xml:space="preserve">always </w:t>
      </w:r>
      <w:r w:rsidR="00774C13" w:rsidRPr="00C4579B">
        <w:t>be free</w:t>
      </w:r>
      <w:r w:rsidR="00BB6B7F" w:rsidRPr="00C4579B">
        <w:t xml:space="preserve"> to decide autonomously how often to </w:t>
      </w:r>
      <w:r w:rsidR="00C621DB" w:rsidRPr="00C4579B">
        <w:t xml:space="preserve">travel </w:t>
      </w:r>
      <w:r w:rsidR="00BB6B7F" w:rsidRPr="00C4579B">
        <w:t xml:space="preserve">(Prop. 1996/97:115:50, Prop. 2005/06:160:255–256). The national government has acknowledged the ideological validity of this </w:t>
      </w:r>
      <w:r w:rsidR="00C621DB" w:rsidRPr="00C4579B">
        <w:t xml:space="preserve">criticism </w:t>
      </w:r>
      <w:r w:rsidR="00BB6B7F" w:rsidRPr="00C4579B">
        <w:t>(Prop. 2005/06:160:256). However, the government’s solution to the problem was not to abandon the practice per se. Instead</w:t>
      </w:r>
      <w:r w:rsidR="00C621DB" w:rsidRPr="00C4579B">
        <w:t>,</w:t>
      </w:r>
      <w:r w:rsidR="00BB6B7F" w:rsidRPr="00C4579B">
        <w:t xml:space="preserve"> in 2006 </w:t>
      </w:r>
      <w:r w:rsidR="00494498" w:rsidRPr="00C4579B">
        <w:t xml:space="preserve">it </w:t>
      </w:r>
      <w:r w:rsidR="00A56469" w:rsidRPr="00C4579B">
        <w:t>changed S</w:t>
      </w:r>
      <w:r w:rsidR="00BB6B7F" w:rsidRPr="00C4579B">
        <w:t xml:space="preserve">ection 9 so that the municipalities may not restrict trips deemed essential for the entitled individual. That is, </w:t>
      </w:r>
      <w:r w:rsidR="00494498" w:rsidRPr="00C4579B">
        <w:t xml:space="preserve">in order </w:t>
      </w:r>
      <w:r w:rsidR="00BB6B7F" w:rsidRPr="00C4579B">
        <w:t xml:space="preserve">to be able to exercise individual autonomy in deciding how many trips to make, the trips must fit into the normality for trips that are deemed </w:t>
      </w:r>
      <w:r w:rsidR="00C621DB" w:rsidRPr="00C4579B">
        <w:t xml:space="preserve">sufficiently </w:t>
      </w:r>
      <w:r w:rsidR="00BB6B7F" w:rsidRPr="00C4579B">
        <w:t xml:space="preserve">essential for the law to actually allow for individual and autonomous decisions. Thus, the critique from the disability </w:t>
      </w:r>
      <w:r w:rsidR="00BB6B7F" w:rsidRPr="00C4579B">
        <w:lastRenderedPageBreak/>
        <w:t>organizations broke up the rationality of municipal discretion, only to have it renegotiated to a qualification process in which individual needs ar</w:t>
      </w:r>
      <w:r w:rsidR="00A56469" w:rsidRPr="00C4579B">
        <w:t>e to be measured against a normalit</w:t>
      </w:r>
      <w:r w:rsidR="00BB6B7F" w:rsidRPr="00C4579B">
        <w:t>y constructed by law.</w:t>
      </w:r>
    </w:p>
    <w:p w:rsidR="001632F8" w:rsidRPr="00C4579B" w:rsidRDefault="00494498" w:rsidP="00D36C98">
      <w:pPr>
        <w:spacing w:after="360" w:line="360" w:lineRule="auto"/>
        <w:jc w:val="both"/>
      </w:pPr>
      <w:r w:rsidRPr="00C4579B">
        <w:t>In v</w:t>
      </w:r>
      <w:r w:rsidR="00BF16DD" w:rsidRPr="00C4579B">
        <w:t>iewing the law on special transport services for people w</w:t>
      </w:r>
      <w:r w:rsidR="0096626F" w:rsidRPr="00C4579B">
        <w:t>ith disabilities</w:t>
      </w:r>
      <w:r w:rsidR="00BF16DD" w:rsidRPr="00C4579B">
        <w:t xml:space="preserve"> from an </w:t>
      </w:r>
      <w:r w:rsidR="0096626F" w:rsidRPr="00C4579B">
        <w:t>individual autonomy perspective</w:t>
      </w:r>
      <w:r w:rsidR="00BF16DD" w:rsidRPr="00C4579B">
        <w:t xml:space="preserve"> it appears that people are constructed by law as members of an incompetent and dependent collective. </w:t>
      </w:r>
      <w:r w:rsidR="00B3724F" w:rsidRPr="00C4579B">
        <w:t>Much essential power to enforce autonomous travel decisions in daily life is subject to approval from the welfare state operators</w:t>
      </w:r>
      <w:r w:rsidR="00C349C7" w:rsidRPr="00C4579B">
        <w:t xml:space="preserve"> and traffic corporations</w:t>
      </w:r>
      <w:r w:rsidR="00B3724F" w:rsidRPr="00C4579B">
        <w:t>. This</w:t>
      </w:r>
      <w:r w:rsidR="00F409A0" w:rsidRPr="00C4579B">
        <w:t xml:space="preserve"> stands in stark contrast to </w:t>
      </w:r>
      <w:r w:rsidR="00C349C7" w:rsidRPr="00C4579B">
        <w:t>other possible normalit</w:t>
      </w:r>
      <w:r w:rsidR="00375657" w:rsidRPr="00C4579B">
        <w:t>ies, namely that</w:t>
      </w:r>
      <w:r w:rsidR="001632F8" w:rsidRPr="00C4579B">
        <w:t xml:space="preserve"> of the</w:t>
      </w:r>
      <w:r w:rsidR="00B3724F" w:rsidRPr="00C4579B">
        <w:t xml:space="preserve"> </w:t>
      </w:r>
      <w:r w:rsidR="00F9336D" w:rsidRPr="00C4579B">
        <w:t>general public transport</w:t>
      </w:r>
      <w:r w:rsidR="00B3724F" w:rsidRPr="00C4579B">
        <w:t xml:space="preserve"> </w:t>
      </w:r>
      <w:r w:rsidR="00465DF0" w:rsidRPr="00C4579B">
        <w:t>traveler</w:t>
      </w:r>
      <w:r w:rsidR="00375657" w:rsidRPr="00C4579B">
        <w:t xml:space="preserve"> and</w:t>
      </w:r>
      <w:r w:rsidR="00DF0153" w:rsidRPr="00C4579B">
        <w:t xml:space="preserve"> that of the regular taxi customer</w:t>
      </w:r>
      <w:r w:rsidR="00F9336D" w:rsidRPr="00C4579B">
        <w:t>, who</w:t>
      </w:r>
      <w:r w:rsidR="00375657" w:rsidRPr="00C4579B">
        <w:t xml:space="preserve"> both</w:t>
      </w:r>
      <w:r w:rsidR="00F9336D" w:rsidRPr="00C4579B">
        <w:t xml:space="preserve"> </w:t>
      </w:r>
      <w:r w:rsidR="00BD1EF2" w:rsidRPr="00C4579B">
        <w:t xml:space="preserve">according to market rationality </w:t>
      </w:r>
      <w:r w:rsidR="00B3724F" w:rsidRPr="00C4579B">
        <w:t xml:space="preserve">presumably </w:t>
      </w:r>
      <w:r w:rsidR="00F9336D" w:rsidRPr="00C4579B">
        <w:t>decide</w:t>
      </w:r>
      <w:r w:rsidR="00BD1EF2" w:rsidRPr="00C4579B">
        <w:t xml:space="preserve"> freely,</w:t>
      </w:r>
      <w:r w:rsidR="00F9336D" w:rsidRPr="00C4579B">
        <w:t xml:space="preserve"> inde</w:t>
      </w:r>
      <w:r w:rsidR="00B3724F" w:rsidRPr="00C4579B">
        <w:t>pendently and individually whe</w:t>
      </w:r>
      <w:r w:rsidR="00196975" w:rsidRPr="00C4579B">
        <w:t>n and where to go</w:t>
      </w:r>
      <w:r w:rsidR="007B472F" w:rsidRPr="00C4579B">
        <w:t>,</w:t>
      </w:r>
      <w:r w:rsidR="00196975" w:rsidRPr="00C4579B">
        <w:t xml:space="preserve"> and </w:t>
      </w:r>
      <w:r w:rsidR="007B472F" w:rsidRPr="00C4579B">
        <w:t xml:space="preserve">also </w:t>
      </w:r>
      <w:r w:rsidR="00196975" w:rsidRPr="00C4579B">
        <w:t>with whom.</w:t>
      </w:r>
    </w:p>
    <w:p w:rsidR="00FF5610" w:rsidRDefault="00FF5610" w:rsidP="00D36C98">
      <w:pPr>
        <w:pStyle w:val="Title"/>
        <w:spacing w:before="0" w:after="360" w:line="360" w:lineRule="auto"/>
        <w:jc w:val="left"/>
        <w:rPr>
          <w:rFonts w:ascii="Times New Roman" w:hAnsi="Times New Roman"/>
          <w:sz w:val="24"/>
          <w:szCs w:val="24"/>
          <w:lang w:val="en-GB"/>
        </w:rPr>
      </w:pPr>
    </w:p>
    <w:p w:rsidR="001E0F3E" w:rsidRPr="00C4579B" w:rsidRDefault="0001411D" w:rsidP="00D36C98">
      <w:pPr>
        <w:pStyle w:val="Title"/>
        <w:spacing w:before="0" w:after="360" w:line="360" w:lineRule="auto"/>
        <w:jc w:val="left"/>
        <w:rPr>
          <w:rFonts w:ascii="Times New Roman" w:hAnsi="Times New Roman"/>
          <w:sz w:val="24"/>
          <w:szCs w:val="24"/>
        </w:rPr>
      </w:pPr>
      <w:r w:rsidRPr="00C4579B">
        <w:rPr>
          <w:rFonts w:ascii="Times New Roman" w:hAnsi="Times New Roman"/>
          <w:sz w:val="24"/>
          <w:szCs w:val="24"/>
        </w:rPr>
        <w:t xml:space="preserve">Individual Autonomy </w:t>
      </w:r>
      <w:proofErr w:type="spellStart"/>
      <w:r w:rsidRPr="00C4579B">
        <w:rPr>
          <w:rFonts w:ascii="Times New Roman" w:hAnsi="Times New Roman"/>
          <w:sz w:val="24"/>
          <w:szCs w:val="24"/>
        </w:rPr>
        <w:t>v</w:t>
      </w:r>
      <w:r w:rsidR="001E0F3E" w:rsidRPr="00C4579B">
        <w:rPr>
          <w:rFonts w:ascii="Times New Roman" w:hAnsi="Times New Roman"/>
          <w:sz w:val="24"/>
          <w:szCs w:val="24"/>
        </w:rPr>
        <w:t>s</w:t>
      </w:r>
      <w:proofErr w:type="spellEnd"/>
      <w:r w:rsidR="001E0F3E" w:rsidRPr="00C4579B">
        <w:rPr>
          <w:rFonts w:ascii="Times New Roman" w:hAnsi="Times New Roman"/>
          <w:sz w:val="24"/>
          <w:szCs w:val="24"/>
        </w:rPr>
        <w:t xml:space="preserve"> Social Service State Rationality</w:t>
      </w:r>
    </w:p>
    <w:p w:rsidR="00BB6B7F" w:rsidRPr="00C4579B" w:rsidRDefault="00BB6B7F" w:rsidP="00D36C98">
      <w:pPr>
        <w:spacing w:after="360" w:line="360" w:lineRule="auto"/>
        <w:jc w:val="both"/>
      </w:pPr>
      <w:r w:rsidRPr="00C4579B">
        <w:t xml:space="preserve">The opposing forces of a normative egalitarian ideal and the right of the private individual to exercise autonomous decisions in daily life </w:t>
      </w:r>
      <w:r w:rsidR="001E0F3E" w:rsidRPr="00C4579B">
        <w:t>may</w:t>
      </w:r>
      <w:r w:rsidRPr="00C4579B">
        <w:t xml:space="preserve"> be viewed as a buil</w:t>
      </w:r>
      <w:r w:rsidR="00BD5FE8" w:rsidRPr="00C4579B">
        <w:t>t-</w:t>
      </w:r>
      <w:r w:rsidR="001E0F3E" w:rsidRPr="00C4579B">
        <w:t>in contradiction in the</w:t>
      </w:r>
      <w:r w:rsidRPr="00C4579B">
        <w:t xml:space="preserve"> social service state (</w:t>
      </w:r>
      <w:proofErr w:type="spellStart"/>
      <w:r w:rsidRPr="00C4579B">
        <w:t>Askheim</w:t>
      </w:r>
      <w:proofErr w:type="spellEnd"/>
      <w:r w:rsidRPr="00C4579B">
        <w:t xml:space="preserve"> 2005:25). The qualification process governed by legal criteria contains paternalistic and moralistic features that discipline the collective of citizens towards a normality that defines social justice in the welfare state. </w:t>
      </w:r>
      <w:r w:rsidR="00F9336D" w:rsidRPr="00C4579B">
        <w:t>What determines whether a specific individual gets a specific right to services, and also the quality and extent of this right, is entirely connected to how the individual is constructed by law and how the particular right fits into the perception of normality in the pre</w:t>
      </w:r>
      <w:r w:rsidR="00494498" w:rsidRPr="00C4579B">
        <w:t>-</w:t>
      </w:r>
      <w:r w:rsidR="00F9336D" w:rsidRPr="00C4579B">
        <w:t xml:space="preserve">existing redistributive systems of the welfare state. </w:t>
      </w:r>
      <w:r w:rsidR="00937736" w:rsidRPr="00C4579B">
        <w:t>When normalit</w:t>
      </w:r>
      <w:r w:rsidRPr="00C4579B">
        <w:t xml:space="preserve">y is not attained, social exclusion for groups or individuals </w:t>
      </w:r>
      <w:r w:rsidR="00494498" w:rsidRPr="00C4579B">
        <w:t xml:space="preserve">is the </w:t>
      </w:r>
      <w:r w:rsidR="00937736" w:rsidRPr="00C4579B">
        <w:t xml:space="preserve">unavoidable </w:t>
      </w:r>
      <w:r w:rsidRPr="00C4579B">
        <w:t>result (Gunna</w:t>
      </w:r>
      <w:r w:rsidR="005D596A" w:rsidRPr="00C4579B">
        <w:t>rsson &amp; Svensson 2009:220-222).</w:t>
      </w:r>
    </w:p>
    <w:p w:rsidR="00644946" w:rsidRPr="00C4579B" w:rsidRDefault="00644946" w:rsidP="00D36C98">
      <w:pPr>
        <w:spacing w:after="360" w:line="360" w:lineRule="auto"/>
        <w:jc w:val="both"/>
      </w:pPr>
      <w:r w:rsidRPr="00C4579B">
        <w:t xml:space="preserve">The </w:t>
      </w:r>
      <w:r w:rsidR="00B47750" w:rsidRPr="00C4579B">
        <w:t xml:space="preserve">pluralism </w:t>
      </w:r>
      <w:r w:rsidR="00C93B0A" w:rsidRPr="00C4579B">
        <w:t xml:space="preserve">which </w:t>
      </w:r>
      <w:proofErr w:type="spellStart"/>
      <w:r w:rsidR="00C93B0A" w:rsidRPr="00C4579B">
        <w:t>characterises</w:t>
      </w:r>
      <w:proofErr w:type="spellEnd"/>
      <w:r w:rsidR="00C93B0A" w:rsidRPr="00C4579B">
        <w:t xml:space="preserve"> </w:t>
      </w:r>
      <w:r w:rsidR="00B47750" w:rsidRPr="00C4579B">
        <w:t xml:space="preserve">the </w:t>
      </w:r>
      <w:r w:rsidR="00542085" w:rsidRPr="00C4579B">
        <w:t>social service state</w:t>
      </w:r>
      <w:r w:rsidRPr="00C4579B">
        <w:t xml:space="preserve"> is in itself a complex structure of stability and change. The framework law is designed to allow change </w:t>
      </w:r>
      <w:r w:rsidR="00BB6B7F" w:rsidRPr="00C4579B">
        <w:t>in values and methods within a stable</w:t>
      </w:r>
      <w:r w:rsidRPr="00C4579B">
        <w:t xml:space="preserve"> </w:t>
      </w:r>
      <w:r w:rsidR="00BB6B7F" w:rsidRPr="00C4579B">
        <w:t>organizing</w:t>
      </w:r>
      <w:r w:rsidRPr="00C4579B">
        <w:t xml:space="preserve"> system. At the same time the institutions and the oper</w:t>
      </w:r>
      <w:r w:rsidR="004910A7" w:rsidRPr="00C4579B">
        <w:t>ators of the welfare state are ‘</w:t>
      </w:r>
      <w:r w:rsidRPr="00C4579B">
        <w:t>normalized</w:t>
      </w:r>
      <w:r w:rsidR="004910A7" w:rsidRPr="00C4579B">
        <w:t>’</w:t>
      </w:r>
      <w:r w:rsidRPr="00C4579B">
        <w:t xml:space="preserve"> to the framework system</w:t>
      </w:r>
      <w:r w:rsidR="00522E77" w:rsidRPr="00C4579B">
        <w:t xml:space="preserve"> and the stability and endurance of the system is tangible. </w:t>
      </w:r>
      <w:r w:rsidRPr="00C4579B">
        <w:t>The redistributive</w:t>
      </w:r>
      <w:r w:rsidR="00522E77" w:rsidRPr="00C4579B">
        <w:t xml:space="preserve"> transfer of material care and services to individuals is</w:t>
      </w:r>
      <w:r w:rsidRPr="00C4579B">
        <w:t xml:space="preserve"> </w:t>
      </w:r>
      <w:r w:rsidRPr="00C4579B">
        <w:lastRenderedPageBreak/>
        <w:t>view</w:t>
      </w:r>
      <w:r w:rsidR="00522E77" w:rsidRPr="00C4579B">
        <w:t>ed as wholl</w:t>
      </w:r>
      <w:r w:rsidR="006F2E3B" w:rsidRPr="00C4579B">
        <w:t>y</w:t>
      </w:r>
      <w:r w:rsidR="00F9336D" w:rsidRPr="00C4579B">
        <w:t xml:space="preserve"> legitimate, while the</w:t>
      </w:r>
      <w:r w:rsidR="006F2E3B" w:rsidRPr="00C4579B">
        <w:t xml:space="preserve"> non-transfer of ultimate power over important daily life decisions</w:t>
      </w:r>
      <w:r w:rsidR="00522E77" w:rsidRPr="00C4579B">
        <w:t xml:space="preserve"> is </w:t>
      </w:r>
      <w:r w:rsidR="006F2E3B" w:rsidRPr="00C4579B">
        <w:t xml:space="preserve">mostly </w:t>
      </w:r>
      <w:r w:rsidR="00522E77" w:rsidRPr="00C4579B">
        <w:t>hidden as it falls outside the scope of the ideal social citizenship.</w:t>
      </w:r>
    </w:p>
    <w:p w:rsidR="006F2E3B" w:rsidRPr="00C4579B" w:rsidRDefault="006F2E3B" w:rsidP="00D36C98">
      <w:pPr>
        <w:spacing w:after="360" w:line="360" w:lineRule="auto"/>
        <w:jc w:val="both"/>
      </w:pPr>
    </w:p>
    <w:p w:rsidR="006F2E3B" w:rsidRPr="00C4579B" w:rsidRDefault="00B62C95" w:rsidP="00D36C98">
      <w:pPr>
        <w:pStyle w:val="Title"/>
        <w:spacing w:before="0" w:after="360" w:line="360" w:lineRule="auto"/>
        <w:jc w:val="left"/>
        <w:rPr>
          <w:rFonts w:ascii="Times New Roman" w:hAnsi="Times New Roman"/>
          <w:sz w:val="24"/>
          <w:szCs w:val="24"/>
        </w:rPr>
      </w:pPr>
      <w:r w:rsidRPr="00C4579B">
        <w:rPr>
          <w:rFonts w:ascii="Times New Roman" w:hAnsi="Times New Roman"/>
          <w:sz w:val="24"/>
          <w:szCs w:val="24"/>
        </w:rPr>
        <w:t>Redistribution,</w:t>
      </w:r>
      <w:r w:rsidR="00065714" w:rsidRPr="00C4579B">
        <w:rPr>
          <w:rFonts w:ascii="Times New Roman" w:hAnsi="Times New Roman"/>
          <w:sz w:val="24"/>
          <w:szCs w:val="24"/>
        </w:rPr>
        <w:t xml:space="preserve"> Recognition</w:t>
      </w:r>
      <w:r w:rsidRPr="00C4579B">
        <w:rPr>
          <w:rFonts w:ascii="Times New Roman" w:hAnsi="Times New Roman"/>
          <w:sz w:val="24"/>
          <w:szCs w:val="24"/>
        </w:rPr>
        <w:t xml:space="preserve"> and Representation</w:t>
      </w:r>
      <w:r w:rsidR="00065714" w:rsidRPr="00C4579B">
        <w:rPr>
          <w:rFonts w:ascii="Times New Roman" w:hAnsi="Times New Roman"/>
          <w:sz w:val="24"/>
          <w:szCs w:val="24"/>
        </w:rPr>
        <w:t xml:space="preserve"> – A Broader Understanding of Autonomy and Power</w:t>
      </w:r>
    </w:p>
    <w:p w:rsidR="00F55287" w:rsidRPr="00C4579B" w:rsidRDefault="002F1823" w:rsidP="00D36C98">
      <w:pPr>
        <w:spacing w:after="360" w:line="360" w:lineRule="auto"/>
        <w:jc w:val="both"/>
      </w:pPr>
      <w:r w:rsidRPr="00C4579B">
        <w:t>Over the last two decades the</w:t>
      </w:r>
      <w:r w:rsidR="00F55287" w:rsidRPr="00C4579B">
        <w:t xml:space="preserve"> focus </w:t>
      </w:r>
      <w:r w:rsidR="00494498" w:rsidRPr="00C4579B">
        <w:t>of</w:t>
      </w:r>
      <w:r w:rsidR="00F55287" w:rsidRPr="00C4579B">
        <w:t xml:space="preserve"> </w:t>
      </w:r>
      <w:r w:rsidR="002E2DF0" w:rsidRPr="00C4579B">
        <w:t xml:space="preserve">international </w:t>
      </w:r>
      <w:r w:rsidR="00F55287" w:rsidRPr="00C4579B">
        <w:t xml:space="preserve">disability law and policy appears to </w:t>
      </w:r>
      <w:r w:rsidRPr="00C4579B">
        <w:t xml:space="preserve">have </w:t>
      </w:r>
      <w:r w:rsidR="00F55287" w:rsidRPr="00C4579B">
        <w:t>be</w:t>
      </w:r>
      <w:r w:rsidRPr="00C4579B">
        <w:t>en</w:t>
      </w:r>
      <w:r w:rsidR="00F55287" w:rsidRPr="00C4579B">
        <w:t xml:space="preserve"> </w:t>
      </w:r>
      <w:r w:rsidR="00D71B91" w:rsidRPr="00C4579B">
        <w:t xml:space="preserve">firmly </w:t>
      </w:r>
      <w:r w:rsidR="007D08FD" w:rsidRPr="00C4579B">
        <w:t xml:space="preserve">set </w:t>
      </w:r>
      <w:r w:rsidR="00F55287" w:rsidRPr="00C4579B">
        <w:t>on fo</w:t>
      </w:r>
      <w:r w:rsidR="00894939" w:rsidRPr="00C4579B">
        <w:t>rmal social justice. The goal has been</w:t>
      </w:r>
      <w:r w:rsidR="00F55287" w:rsidRPr="00C4579B">
        <w:t xml:space="preserve"> equalization of</w:t>
      </w:r>
      <w:r w:rsidR="00894939" w:rsidRPr="00C4579B">
        <w:t xml:space="preserve"> opportunities</w:t>
      </w:r>
      <w:r w:rsidR="00F55287" w:rsidRPr="00C4579B">
        <w:t xml:space="preserve">. This </w:t>
      </w:r>
      <w:r w:rsidR="00894939" w:rsidRPr="00C4579B">
        <w:t xml:space="preserve">focus </w:t>
      </w:r>
      <w:r w:rsidR="00D71B91" w:rsidRPr="00C4579B">
        <w:t>can be seen as</w:t>
      </w:r>
      <w:r w:rsidR="00F55287" w:rsidRPr="00C4579B">
        <w:t xml:space="preserve"> part o</w:t>
      </w:r>
      <w:r w:rsidR="007D08FD" w:rsidRPr="00C4579B">
        <w:t>f an international trend that appears to be</w:t>
      </w:r>
      <w:r w:rsidR="00F55287" w:rsidRPr="00C4579B">
        <w:t xml:space="preserve"> much inspired by the American civil rights movement and the A</w:t>
      </w:r>
      <w:r w:rsidRPr="00C4579B">
        <w:t>mericans with Disabilities Act (</w:t>
      </w:r>
      <w:proofErr w:type="spellStart"/>
      <w:r w:rsidRPr="00C4579B">
        <w:t>Danermark</w:t>
      </w:r>
      <w:proofErr w:type="spellEnd"/>
      <w:r w:rsidRPr="00C4579B">
        <w:t xml:space="preserve"> &amp; </w:t>
      </w:r>
      <w:proofErr w:type="spellStart"/>
      <w:r w:rsidRPr="00C4579B">
        <w:t>Gellerstedt</w:t>
      </w:r>
      <w:proofErr w:type="spellEnd"/>
      <w:r w:rsidRPr="00C4579B">
        <w:t xml:space="preserve"> 2004:341)</w:t>
      </w:r>
      <w:r w:rsidR="004910A7" w:rsidRPr="00C4579B">
        <w:t xml:space="preserve">. </w:t>
      </w:r>
      <w:r w:rsidR="000D6BB2" w:rsidRPr="00C4579B">
        <w:t>T</w:t>
      </w:r>
      <w:r w:rsidR="002E2DF0" w:rsidRPr="00C4579B">
        <w:t>he</w:t>
      </w:r>
      <w:r w:rsidRPr="00C4579B">
        <w:t xml:space="preserve"> UN Convention on the Rights of Persons with Disabilities</w:t>
      </w:r>
      <w:r w:rsidR="00894939" w:rsidRPr="00C4579B">
        <w:t xml:space="preserve"> </w:t>
      </w:r>
      <w:r w:rsidR="000D6BB2" w:rsidRPr="00C4579B">
        <w:t>represents a firm global acknowledgement of the equal dignity and autonomy of people with disabilities. In the Convention</w:t>
      </w:r>
      <w:r w:rsidR="00894939" w:rsidRPr="00C4579B">
        <w:t xml:space="preserve"> the principle of social justice a</w:t>
      </w:r>
      <w:r w:rsidR="002E2DF0" w:rsidRPr="00C4579B">
        <w:t>ppears to have been</w:t>
      </w:r>
      <w:r w:rsidR="00894939" w:rsidRPr="00C4579B">
        <w:t xml:space="preserve"> influenced by a more multidimensional underst</w:t>
      </w:r>
      <w:r w:rsidR="002E2DF0" w:rsidRPr="00C4579B">
        <w:t>anding of equality</w:t>
      </w:r>
      <w:r w:rsidR="00894939" w:rsidRPr="00C4579B">
        <w:t xml:space="preserve">. This more nuanced and complex notion of equality is rooted in the </w:t>
      </w:r>
      <w:r w:rsidR="002E2DF0" w:rsidRPr="00C4579B">
        <w:t>perception</w:t>
      </w:r>
      <w:r w:rsidR="00894939" w:rsidRPr="00C4579B">
        <w:t xml:space="preserve"> of disability a</w:t>
      </w:r>
      <w:r w:rsidR="00833847" w:rsidRPr="00C4579B">
        <w:t>s a</w:t>
      </w:r>
      <w:r w:rsidR="00894939" w:rsidRPr="00C4579B">
        <w:t xml:space="preserve"> social constru</w:t>
      </w:r>
      <w:r w:rsidR="00833847" w:rsidRPr="00C4579B">
        <w:t>ct. It is also evident</w:t>
      </w:r>
      <w:r w:rsidR="00894939" w:rsidRPr="00C4579B">
        <w:t xml:space="preserve"> in the core legal principle that equality requires equal treatment of equal situations and different tr</w:t>
      </w:r>
      <w:r w:rsidR="00A97AD5" w:rsidRPr="00C4579B">
        <w:t xml:space="preserve">eatment of unequal situations </w:t>
      </w:r>
      <w:r w:rsidR="00894939" w:rsidRPr="00C4579B">
        <w:t>(</w:t>
      </w:r>
      <w:proofErr w:type="spellStart"/>
      <w:r w:rsidR="00894939" w:rsidRPr="00C4579B">
        <w:t>Mjöll</w:t>
      </w:r>
      <w:proofErr w:type="spellEnd"/>
      <w:r w:rsidR="00894939" w:rsidRPr="00C4579B">
        <w:t xml:space="preserve"> </w:t>
      </w:r>
      <w:proofErr w:type="spellStart"/>
      <w:r w:rsidR="00894939" w:rsidRPr="00C4579B">
        <w:t>Arnardóttir</w:t>
      </w:r>
      <w:proofErr w:type="spellEnd"/>
      <w:r w:rsidR="00894939" w:rsidRPr="00C4579B">
        <w:t xml:space="preserve"> 2009:43).</w:t>
      </w:r>
      <w:r w:rsidR="00644946" w:rsidRPr="00C4579B">
        <w:t xml:space="preserve"> The c</w:t>
      </w:r>
      <w:r w:rsidR="00A97AD5" w:rsidRPr="00C4579B">
        <w:t>omplexities of both cultural differences and material disadvantages have been incorporated in</w:t>
      </w:r>
      <w:r w:rsidR="00494498" w:rsidRPr="00C4579B">
        <w:t>to</w:t>
      </w:r>
      <w:r w:rsidR="00A97AD5" w:rsidRPr="00C4579B">
        <w:t xml:space="preserve"> a broader understanding of social justice.</w:t>
      </w:r>
    </w:p>
    <w:p w:rsidR="00F90B8B" w:rsidRPr="00C4579B" w:rsidRDefault="00C079BD" w:rsidP="00D36C98">
      <w:pPr>
        <w:spacing w:after="360" w:line="360" w:lineRule="auto"/>
        <w:jc w:val="both"/>
      </w:pPr>
      <w:r w:rsidRPr="00C4579B">
        <w:t xml:space="preserve">Much like the driving forces behind the feminist movement, the emancipatory drive behind the disability movement </w:t>
      </w:r>
      <w:r w:rsidR="003C3925" w:rsidRPr="00C4579B">
        <w:t xml:space="preserve">seeks </w:t>
      </w:r>
      <w:r w:rsidRPr="00C4579B">
        <w:t xml:space="preserve">both </w:t>
      </w:r>
      <w:r w:rsidR="003C3925" w:rsidRPr="00C4579B">
        <w:t xml:space="preserve">a </w:t>
      </w:r>
      <w:r w:rsidRPr="00C4579B">
        <w:t>redistri</w:t>
      </w:r>
      <w:r w:rsidR="004910A7" w:rsidRPr="00C4579B">
        <w:t>bution of economic resources and</w:t>
      </w:r>
      <w:r w:rsidRPr="00C4579B">
        <w:t xml:space="preserve"> the recognition of</w:t>
      </w:r>
      <w:r w:rsidR="00A37A02" w:rsidRPr="00C4579B">
        <w:t xml:space="preserve"> lived experiences</w:t>
      </w:r>
      <w:r w:rsidRPr="00C4579B">
        <w:t xml:space="preserve"> (</w:t>
      </w:r>
      <w:proofErr w:type="spellStart"/>
      <w:r w:rsidRPr="00C4579B">
        <w:t>Hugemark</w:t>
      </w:r>
      <w:proofErr w:type="spellEnd"/>
      <w:r w:rsidRPr="00C4579B">
        <w:t xml:space="preserve"> &amp; Roman 2007:29). </w:t>
      </w:r>
      <w:r w:rsidR="004910A7" w:rsidRPr="00C4579B">
        <w:t xml:space="preserve">As a collective, the disability movement has for a long time also grappled with issues of representation, both in the political system and within the community at large. Some observations indicate that the Swedish disability movement is slowly moving away from the traditional consensus-building of the Nordic political culture, toward a more campaign oriented approach and a more outspoken role </w:t>
      </w:r>
      <w:r w:rsidR="003F4219" w:rsidRPr="00C4579B">
        <w:t xml:space="preserve">in the form of </w:t>
      </w:r>
      <w:r w:rsidR="004910A7" w:rsidRPr="00C4579B">
        <w:t>lobby groups for disabled peop</w:t>
      </w:r>
      <w:r w:rsidR="00FA6516" w:rsidRPr="00C4579B">
        <w:t xml:space="preserve">le (Lindberg &amp; </w:t>
      </w:r>
      <w:proofErr w:type="spellStart"/>
      <w:r w:rsidR="00FA6516" w:rsidRPr="00C4579B">
        <w:t>Grönvik</w:t>
      </w:r>
      <w:proofErr w:type="spellEnd"/>
      <w:r w:rsidR="00FA6516" w:rsidRPr="00C4579B">
        <w:t xml:space="preserve"> 2011:101</w:t>
      </w:r>
      <w:r w:rsidR="004910A7" w:rsidRPr="00C4579B">
        <w:t>–121).</w:t>
      </w:r>
      <w:r w:rsidR="00C037DE" w:rsidRPr="00C4579B">
        <w:t xml:space="preserve"> Again, it is important to remember the Swedish context where the welfare state is </w:t>
      </w:r>
      <w:r w:rsidR="003F4219" w:rsidRPr="00C4579B">
        <w:t xml:space="preserve">criticized </w:t>
      </w:r>
      <w:r w:rsidR="00C037DE" w:rsidRPr="00C4579B">
        <w:t>for</w:t>
      </w:r>
      <w:r w:rsidR="005D596A" w:rsidRPr="00C4579B">
        <w:t xml:space="preserve"> </w:t>
      </w:r>
      <w:r w:rsidR="00C3673F" w:rsidRPr="00C4579B">
        <w:t xml:space="preserve">its </w:t>
      </w:r>
      <w:r w:rsidR="005D596A" w:rsidRPr="00C4579B">
        <w:t>perceived shortcomings and co</w:t>
      </w:r>
      <w:r w:rsidR="00C037DE" w:rsidRPr="00C4579B">
        <w:t>ntradictions, but also</w:t>
      </w:r>
      <w:r w:rsidR="005D596A" w:rsidRPr="00C4579B">
        <w:t xml:space="preserve"> acknowledge</w:t>
      </w:r>
      <w:r w:rsidR="00C037DE" w:rsidRPr="00C4579B">
        <w:t>d</w:t>
      </w:r>
      <w:r w:rsidR="005D596A" w:rsidRPr="00C4579B">
        <w:t xml:space="preserve"> </w:t>
      </w:r>
      <w:r w:rsidR="00C037DE" w:rsidRPr="00C4579B">
        <w:t>as</w:t>
      </w:r>
      <w:r w:rsidR="005D596A" w:rsidRPr="00C4579B">
        <w:t xml:space="preserve"> </w:t>
      </w:r>
      <w:r w:rsidR="00FE5BAA" w:rsidRPr="00C4579B">
        <w:t>the mighty vehicle that</w:t>
      </w:r>
      <w:r w:rsidR="005D596A" w:rsidRPr="00C4579B">
        <w:t xml:space="preserve"> drives emancipation for people with disabilities (</w:t>
      </w:r>
      <w:proofErr w:type="spellStart"/>
      <w:r w:rsidR="005D596A" w:rsidRPr="00C4579B">
        <w:t>Lindqvist</w:t>
      </w:r>
      <w:proofErr w:type="spellEnd"/>
      <w:r w:rsidR="005D596A" w:rsidRPr="00C4579B">
        <w:t xml:space="preserve"> 2007:12–</w:t>
      </w:r>
      <w:r w:rsidR="005D596A" w:rsidRPr="00C4579B">
        <w:lastRenderedPageBreak/>
        <w:t>28).</w:t>
      </w:r>
      <w:r w:rsidR="00535BC3" w:rsidRPr="00C4579B">
        <w:t xml:space="preserve"> Still, o</w:t>
      </w:r>
      <w:r w:rsidR="008A4611" w:rsidRPr="00C4579B">
        <w:t>verwhelming evidence, supplied by disability research over the years, indicate</w:t>
      </w:r>
      <w:r w:rsidR="005762BC" w:rsidRPr="00C4579B">
        <w:t>s</w:t>
      </w:r>
      <w:r w:rsidR="008A4611" w:rsidRPr="00C4579B">
        <w:t xml:space="preserve"> that </w:t>
      </w:r>
      <w:r w:rsidR="00F44331" w:rsidRPr="00C4579B">
        <w:t xml:space="preserve">also in modern Swedish society </w:t>
      </w:r>
      <w:r w:rsidR="008A4611" w:rsidRPr="00C4579B">
        <w:t xml:space="preserve">people with disabilities suffer both socioeconomic maldistribution and cultural misrecognition. </w:t>
      </w:r>
      <w:r w:rsidR="00D066D1" w:rsidRPr="00C4579B">
        <w:t>On a structural level, people with di</w:t>
      </w:r>
      <w:r w:rsidR="00BE13ED" w:rsidRPr="00C4579B">
        <w:t>sabilities can be viewed as a bivalent collective</w:t>
      </w:r>
      <w:r w:rsidR="00D066D1" w:rsidRPr="00C4579B">
        <w:t xml:space="preserve"> in that they are differentiated by both the political and economic structure</w:t>
      </w:r>
      <w:r w:rsidR="005762BC" w:rsidRPr="00C4579B">
        <w:t xml:space="preserve">s as well as </w:t>
      </w:r>
      <w:r w:rsidR="00246BA1" w:rsidRPr="00C4579B">
        <w:t xml:space="preserve">by </w:t>
      </w:r>
      <w:r w:rsidR="00D066D1" w:rsidRPr="00C4579B">
        <w:t xml:space="preserve">the cultural and </w:t>
      </w:r>
      <w:r w:rsidR="008A4611" w:rsidRPr="00C4579B">
        <w:t>value based structures</w:t>
      </w:r>
      <w:r w:rsidR="00D066D1" w:rsidRPr="00C4579B">
        <w:t xml:space="preserve"> (Fraser 1997:19). </w:t>
      </w:r>
      <w:r w:rsidR="003F5898" w:rsidRPr="00C4579B">
        <w:t xml:space="preserve">Nancy Fraser </w:t>
      </w:r>
      <w:r w:rsidR="00C52000" w:rsidRPr="00C4579B">
        <w:t>uses the terms redistribution and recognition to illustrate different aspects of social justice</w:t>
      </w:r>
      <w:r w:rsidR="00BE13ED" w:rsidRPr="00C4579B">
        <w:t xml:space="preserve"> for such bivalent collectives</w:t>
      </w:r>
      <w:r w:rsidR="00C52000" w:rsidRPr="00C4579B">
        <w:t xml:space="preserve">. While redistribution focuses </w:t>
      </w:r>
      <w:r w:rsidR="00397DDC" w:rsidRPr="00C4579B">
        <w:t xml:space="preserve">mainly </w:t>
      </w:r>
      <w:r w:rsidR="00C52000" w:rsidRPr="00C4579B">
        <w:t>on socio</w:t>
      </w:r>
      <w:r w:rsidR="003F4219" w:rsidRPr="00C4579B">
        <w:t>-</w:t>
      </w:r>
      <w:r w:rsidR="00C52000" w:rsidRPr="00C4579B">
        <w:t xml:space="preserve">economic injustices, recognition focuses </w:t>
      </w:r>
      <w:r w:rsidR="00397DDC" w:rsidRPr="00C4579B">
        <w:t xml:space="preserve">mainly </w:t>
      </w:r>
      <w:r w:rsidR="00C52000" w:rsidRPr="00C4579B">
        <w:t>on cultural injustices</w:t>
      </w:r>
      <w:r w:rsidR="00E7362A" w:rsidRPr="00C4579B">
        <w:t xml:space="preserve"> (Fraser </w:t>
      </w:r>
      <w:r w:rsidR="00330DEA" w:rsidRPr="00C4579B">
        <w:t xml:space="preserve">1997, </w:t>
      </w:r>
      <w:r w:rsidR="00E7362A" w:rsidRPr="00C4579B">
        <w:t>2003)</w:t>
      </w:r>
      <w:r w:rsidR="00C52000" w:rsidRPr="00C4579B">
        <w:t>. These cultural injustices are often invisible through normative practices of the culture, and examples include being routinely maligned or di</w:t>
      </w:r>
      <w:r w:rsidR="0072767E">
        <w:t>sparaged in stereotypic fashion</w:t>
      </w:r>
      <w:r w:rsidR="00C52000" w:rsidRPr="00C4579B">
        <w:t xml:space="preserve"> in cultural representation and in daily life interaction, as experienced by many persons with disabilities</w:t>
      </w:r>
      <w:r w:rsidR="003F5898" w:rsidRPr="00C4579B">
        <w:t>. Misrecognition sh</w:t>
      </w:r>
      <w:r w:rsidR="009D252B" w:rsidRPr="00C4579B">
        <w:t>ould</w:t>
      </w:r>
      <w:r w:rsidR="00C52000" w:rsidRPr="00C4579B">
        <w:t xml:space="preserve"> not be understood as just any cultural or symbolic bias; rather, recognition should be understood as a status in society</w:t>
      </w:r>
      <w:r w:rsidR="00E7362A" w:rsidRPr="00C4579B">
        <w:t xml:space="preserve"> (Fraser 2000:113)</w:t>
      </w:r>
      <w:r w:rsidR="00C52000" w:rsidRPr="00C4579B">
        <w:t xml:space="preserve">. This power dimension enhances the importance of recognition as an aspect of social justice. Misrecognition proper does not occur in a purely cultural realm of symbolic patterns of stigmatizing or demeaning evaluation, but rather in cultural value patterns that are institutionally anchored and systematically subordinating. </w:t>
      </w:r>
      <w:r w:rsidR="00397DDC" w:rsidRPr="00C4579B">
        <w:t>A distinct benefit of understanding misrecognition as status subordination is that it locates the wrong in the social structure of society, instead of in the essence of some individual or collecti</w:t>
      </w:r>
      <w:r w:rsidR="00EE33B6" w:rsidRPr="00C4579B">
        <w:t>ve psychology (Fraser 2003:31).</w:t>
      </w:r>
      <w:r w:rsidR="00E23C3F" w:rsidRPr="00C4579B">
        <w:t xml:space="preserve"> </w:t>
      </w:r>
      <w:r w:rsidR="005F4CE2" w:rsidRPr="00C4579B">
        <w:t xml:space="preserve">To the </w:t>
      </w:r>
      <w:r w:rsidR="006B4061" w:rsidRPr="00C4579B">
        <w:t>two-</w:t>
      </w:r>
      <w:r w:rsidR="005F4CE2" w:rsidRPr="00C4579B">
        <w:t xml:space="preserve">dimensional redistribution-recognition dilemma Fraser has added symbolic and political representation as the third dimension. </w:t>
      </w:r>
      <w:r w:rsidR="006B4061" w:rsidRPr="00C4579B">
        <w:t xml:space="preserve">Misrepresentation occurs when political and legal boundaries are at work in denying parity of participation. </w:t>
      </w:r>
      <w:r w:rsidR="006C17C3" w:rsidRPr="00C4579B">
        <w:t>When particularly severe,</w:t>
      </w:r>
      <w:r w:rsidR="006B4061" w:rsidRPr="00C4579B">
        <w:t xml:space="preserve"> misrepresentation of people </w:t>
      </w:r>
      <w:r w:rsidR="006C17C3" w:rsidRPr="00C4579B">
        <w:t>take</w:t>
      </w:r>
      <w:r w:rsidR="0072767E">
        <w:t>s</w:t>
      </w:r>
      <w:r w:rsidR="006C17C3" w:rsidRPr="00C4579B">
        <w:t xml:space="preserve"> the form </w:t>
      </w:r>
      <w:r w:rsidR="006B4061" w:rsidRPr="00C4579B">
        <w:t>Fraser calls ‘misframing’</w:t>
      </w:r>
      <w:r w:rsidR="00E014F8" w:rsidRPr="00C4579B">
        <w:t xml:space="preserve">, that is, when the boundaries in the community </w:t>
      </w:r>
      <w:r w:rsidR="003F4219" w:rsidRPr="00C4579B">
        <w:t xml:space="preserve">are </w:t>
      </w:r>
      <w:r w:rsidR="00E014F8" w:rsidRPr="00C4579B">
        <w:t xml:space="preserve">drawn so as to not only deny parity of participation but to deny participation at all (Fraser 2005). </w:t>
      </w:r>
    </w:p>
    <w:p w:rsidR="00B03701" w:rsidRPr="00C4579B" w:rsidRDefault="006C17C3" w:rsidP="00D36C98">
      <w:pPr>
        <w:spacing w:after="360" w:line="360" w:lineRule="auto"/>
        <w:jc w:val="both"/>
      </w:pPr>
      <w:r w:rsidRPr="00C4579B">
        <w:t xml:space="preserve">When viewing the possibilities for moving about in the community from the perspective of the individual, in the context of dependence upon the special transport services, such a three-dimensional pattern of injustice becomes visible. </w:t>
      </w:r>
      <w:r w:rsidR="007D7F3B" w:rsidRPr="00C4579B">
        <w:t xml:space="preserve">The services are funded mainly by the </w:t>
      </w:r>
      <w:r w:rsidR="00201B56" w:rsidRPr="00C4579B">
        <w:t>public</w:t>
      </w:r>
      <w:r w:rsidR="007D7F3B" w:rsidRPr="00C4579B">
        <w:t xml:space="preserve"> and, to a </w:t>
      </w:r>
      <w:r w:rsidR="00201B56" w:rsidRPr="00C4579B">
        <w:t xml:space="preserve">much </w:t>
      </w:r>
      <w:r w:rsidR="007D7F3B" w:rsidRPr="00C4579B">
        <w:t xml:space="preserve">lesser degree, through fees from the travelers. </w:t>
      </w:r>
      <w:r w:rsidR="00201B56" w:rsidRPr="00C4579B">
        <w:t>As such, the services are a form of redistribution within the Swedish welfare state.</w:t>
      </w:r>
      <w:r w:rsidR="00284167" w:rsidRPr="00C4579B">
        <w:t xml:space="preserve"> However, f</w:t>
      </w:r>
      <w:r w:rsidR="00201B56" w:rsidRPr="00C4579B">
        <w:t xml:space="preserve">requent travelers continually experience the services as an inferior and limiting factor in their daily lives, compared to what is available to </w:t>
      </w:r>
      <w:r w:rsidR="00DE2B3D" w:rsidRPr="00C4579B">
        <w:t xml:space="preserve">other </w:t>
      </w:r>
      <w:r w:rsidR="00201B56" w:rsidRPr="00C4579B">
        <w:t>travelers by general public transport (</w:t>
      </w:r>
      <w:proofErr w:type="spellStart"/>
      <w:r w:rsidR="00201B56" w:rsidRPr="00C4579B">
        <w:t>Vägverket</w:t>
      </w:r>
      <w:proofErr w:type="spellEnd"/>
      <w:r w:rsidR="00201B56" w:rsidRPr="00C4579B">
        <w:t xml:space="preserve"> 2009). </w:t>
      </w:r>
      <w:r w:rsidR="00DE2B3D" w:rsidRPr="00C4579B">
        <w:lastRenderedPageBreak/>
        <w:t>At the same time travelers indicate that they are paying higher fees for the same or worse services (</w:t>
      </w:r>
      <w:proofErr w:type="spellStart"/>
      <w:r w:rsidR="00DE2B3D" w:rsidRPr="00C4579B">
        <w:t>Strömberg</w:t>
      </w:r>
      <w:proofErr w:type="spellEnd"/>
      <w:r w:rsidR="00DE2B3D" w:rsidRPr="00C4579B">
        <w:t xml:space="preserve"> 2011). These factors indicate that maldistribution is at hand. </w:t>
      </w:r>
      <w:r w:rsidR="00AD3B18" w:rsidRPr="00C4579B">
        <w:t>To achieve social justice it is necessary that all individuals may participate in social interaction on equal terms. This means that to overcome status subordination the misrecognized party must be established as a full and equal member of society, capable of participating on a par with all other people. Such participation on equal footing is frequently called for by people with disabilities and their organizations (</w:t>
      </w:r>
      <w:proofErr w:type="spellStart"/>
      <w:r w:rsidR="00AD3B18" w:rsidRPr="00C4579B">
        <w:t>Danermark</w:t>
      </w:r>
      <w:proofErr w:type="spellEnd"/>
      <w:r w:rsidR="00AD3B18" w:rsidRPr="00C4579B">
        <w:t xml:space="preserve"> &amp; </w:t>
      </w:r>
      <w:proofErr w:type="spellStart"/>
      <w:r w:rsidR="00AD3B18" w:rsidRPr="00C4579B">
        <w:t>Gellerstedt</w:t>
      </w:r>
      <w:proofErr w:type="spellEnd"/>
      <w:r w:rsidR="00AD3B18" w:rsidRPr="00C4579B">
        <w:t xml:space="preserve"> 2004:342). </w:t>
      </w:r>
      <w:r w:rsidR="00DE2B3D" w:rsidRPr="00C4579B">
        <w:t>Frequent travelers</w:t>
      </w:r>
      <w:r w:rsidR="00AD3B18" w:rsidRPr="00C4579B">
        <w:t xml:space="preserve"> with the special transport services</w:t>
      </w:r>
      <w:r w:rsidR="00DE2B3D" w:rsidRPr="00C4579B">
        <w:t xml:space="preserve"> also continually experience that utilizing the services </w:t>
      </w:r>
      <w:r w:rsidR="00686069" w:rsidRPr="00C4579B">
        <w:t xml:space="preserve">confers on them a stigmatizing status and in some cases even subjects them to degrading treatment from professionals. </w:t>
      </w:r>
      <w:r w:rsidR="003F4219" w:rsidRPr="00C4579B">
        <w:t>A</w:t>
      </w:r>
      <w:r w:rsidR="00686069" w:rsidRPr="00C4579B">
        <w:t>mong the worst features of the services</w:t>
      </w:r>
      <w:r w:rsidR="003F4219" w:rsidRPr="00C4579B">
        <w:t>, as indicated by users,</w:t>
      </w:r>
      <w:r w:rsidR="00686069" w:rsidRPr="00C4579B">
        <w:t xml:space="preserve"> is the requirement to order a trip several hours or sometimes even days ahead. Viewed as a lived experience, the inability to quickly or spontaneously move about in the community clearly illuminates the individual’s lack of power and autonomy over important decisions in daily life (</w:t>
      </w:r>
      <w:proofErr w:type="spellStart"/>
      <w:r w:rsidR="00686069" w:rsidRPr="00C4579B">
        <w:t>Vägverket</w:t>
      </w:r>
      <w:proofErr w:type="spellEnd"/>
      <w:r w:rsidR="00686069" w:rsidRPr="00C4579B">
        <w:t xml:space="preserve"> 2009, </w:t>
      </w:r>
      <w:proofErr w:type="spellStart"/>
      <w:r w:rsidR="00686069" w:rsidRPr="00C4579B">
        <w:t>Strömberg</w:t>
      </w:r>
      <w:proofErr w:type="spellEnd"/>
      <w:r w:rsidR="00686069" w:rsidRPr="00C4579B">
        <w:t xml:space="preserve"> 2011). That this systematic, or institutionalized, injustice is considered legitimate and </w:t>
      </w:r>
      <w:r w:rsidR="0013121B" w:rsidRPr="00C4579B">
        <w:t xml:space="preserve">politically </w:t>
      </w:r>
      <w:r w:rsidR="00686069" w:rsidRPr="00C4579B">
        <w:t xml:space="preserve">acceptable </w:t>
      </w:r>
      <w:r w:rsidR="003F4219" w:rsidRPr="00C4579B">
        <w:t>illustrate</w:t>
      </w:r>
      <w:r w:rsidR="00D76F3D" w:rsidRPr="00C4579B">
        <w:t>s</w:t>
      </w:r>
      <w:r w:rsidR="00686069" w:rsidRPr="00C4579B">
        <w:t xml:space="preserve"> that misrecognition is </w:t>
      </w:r>
      <w:r w:rsidR="003F4219" w:rsidRPr="00C4579B">
        <w:t>also present</w:t>
      </w:r>
      <w:r w:rsidR="00686069" w:rsidRPr="00C4579B">
        <w:t xml:space="preserve">. </w:t>
      </w:r>
      <w:r w:rsidR="00BD50CD" w:rsidRPr="00C4579B">
        <w:t>T</w:t>
      </w:r>
      <w:r w:rsidR="008C4018" w:rsidRPr="00C4579B">
        <w:t>he individual</w:t>
      </w:r>
      <w:r w:rsidR="003F4219" w:rsidRPr="00C4579B">
        <w:t>’</w:t>
      </w:r>
      <w:r w:rsidR="008C4018" w:rsidRPr="00C4579B">
        <w:t>s</w:t>
      </w:r>
      <w:r w:rsidR="00BD50CD" w:rsidRPr="00C4579B">
        <w:t xml:space="preserve"> lack of power </w:t>
      </w:r>
      <w:r w:rsidR="008C4018" w:rsidRPr="00C4579B">
        <w:t>and autonomy</w:t>
      </w:r>
      <w:r w:rsidR="00472F95" w:rsidRPr="00C4579B">
        <w:t xml:space="preserve"> in daily life</w:t>
      </w:r>
      <w:r w:rsidR="008C4018" w:rsidRPr="00C4579B">
        <w:t xml:space="preserve"> </w:t>
      </w:r>
      <w:r w:rsidR="00232334" w:rsidRPr="00C4579B">
        <w:t>finally</w:t>
      </w:r>
      <w:r w:rsidR="0013121B" w:rsidRPr="00C4579B">
        <w:t xml:space="preserve"> raise</w:t>
      </w:r>
      <w:r w:rsidR="003F4219" w:rsidRPr="00C4579B">
        <w:t>s</w:t>
      </w:r>
      <w:r w:rsidR="0013121B" w:rsidRPr="00C4579B">
        <w:t xml:space="preserve"> questions </w:t>
      </w:r>
      <w:r w:rsidR="003F4219" w:rsidRPr="00C4579B">
        <w:t xml:space="preserve">about </w:t>
      </w:r>
      <w:r w:rsidR="0013121B" w:rsidRPr="00C4579B">
        <w:t>representation</w:t>
      </w:r>
      <w:r w:rsidR="00232334" w:rsidRPr="00C4579B">
        <w:t xml:space="preserve"> and ‘</w:t>
      </w:r>
      <w:proofErr w:type="spellStart"/>
      <w:r w:rsidR="00232334" w:rsidRPr="00C4579B">
        <w:t>misframing</w:t>
      </w:r>
      <w:proofErr w:type="spellEnd"/>
      <w:r w:rsidR="00232334" w:rsidRPr="00C4579B">
        <w:t>’</w:t>
      </w:r>
      <w:r w:rsidR="0013121B" w:rsidRPr="00C4579B">
        <w:t xml:space="preserve">. Fraser describes the politics of framing as a process where the </w:t>
      </w:r>
      <w:r w:rsidR="00FA6516" w:rsidRPr="00C4579B">
        <w:t>boundaries of the political community are</w:t>
      </w:r>
      <w:r w:rsidR="0013121B" w:rsidRPr="00C4579B">
        <w:t xml:space="preserve"> drawn up</w:t>
      </w:r>
      <w:r w:rsidR="00FA6516" w:rsidRPr="00C4579B">
        <w:t xml:space="preserve"> (Fraser 2005)</w:t>
      </w:r>
      <w:r w:rsidR="0013121B" w:rsidRPr="00C4579B">
        <w:t xml:space="preserve">. </w:t>
      </w:r>
      <w:r w:rsidR="00472F95" w:rsidRPr="00C4579B">
        <w:t xml:space="preserve">The Swedish disability movement has traditionally tried to dismantle </w:t>
      </w:r>
      <w:r w:rsidR="00427021" w:rsidRPr="00C4579B">
        <w:t xml:space="preserve">boundaries for participation </w:t>
      </w:r>
      <w:r w:rsidR="00472F95" w:rsidRPr="00C4579B">
        <w:t xml:space="preserve">by strategies of affirmative framing, that is, </w:t>
      </w:r>
      <w:r w:rsidR="00721A2D" w:rsidRPr="00C4579B">
        <w:t xml:space="preserve">by contesting the boundaries, </w:t>
      </w:r>
      <w:r w:rsidR="003F4219" w:rsidRPr="00C4579B">
        <w:t xml:space="preserve">and </w:t>
      </w:r>
      <w:r w:rsidR="00721A2D" w:rsidRPr="00C4579B">
        <w:t xml:space="preserve">seeking to redraw them to include </w:t>
      </w:r>
      <w:r w:rsidR="00FA6516" w:rsidRPr="00C4579B">
        <w:t xml:space="preserve">people with disabilities in the political community. However, the social service state is in a constant mode of drawing and framing. The framework law, the normative pluralism and the strong position of local self-governance, all require that the boundaries and normalities be articulated again and again. This is a process in which only a strong and visible symbolic and political representation can ensure affirmative framing. As people with disabilities currently lack such forceful representation, </w:t>
      </w:r>
      <w:r w:rsidR="00EB4BF4" w:rsidRPr="00C4579B">
        <w:t xml:space="preserve">they are also </w:t>
      </w:r>
      <w:r w:rsidR="00FA6516" w:rsidRPr="00C4579B">
        <w:t>misrepresent</w:t>
      </w:r>
      <w:r w:rsidR="00EB4BF4" w:rsidRPr="00C4579B">
        <w:t>ed within the political system</w:t>
      </w:r>
      <w:r w:rsidR="00FA6516" w:rsidRPr="00C4579B">
        <w:t xml:space="preserve">. </w:t>
      </w:r>
      <w:r w:rsidR="00AD3B18" w:rsidRPr="00C4579B">
        <w:t>The microcosm of individuals depending on special transport services thus reflects the three-dimensional injustice that many disabled people experience in the Swedish welfare state.</w:t>
      </w:r>
    </w:p>
    <w:p w:rsidR="00AD3B18" w:rsidRPr="00C4579B" w:rsidRDefault="00AD3B18" w:rsidP="00D36C98">
      <w:pPr>
        <w:spacing w:after="360" w:line="360" w:lineRule="auto"/>
        <w:jc w:val="both"/>
      </w:pPr>
    </w:p>
    <w:p w:rsidR="00CD101F" w:rsidRDefault="00CD101F">
      <w:pPr>
        <w:rPr>
          <w:b/>
        </w:rPr>
      </w:pPr>
      <w:r>
        <w:rPr>
          <w:b/>
        </w:rPr>
        <w:br w:type="page"/>
      </w:r>
    </w:p>
    <w:p w:rsidR="00536F42" w:rsidRPr="00C4579B" w:rsidRDefault="00536F42" w:rsidP="00D36C98">
      <w:pPr>
        <w:spacing w:after="360" w:line="360" w:lineRule="auto"/>
        <w:rPr>
          <w:b/>
        </w:rPr>
      </w:pPr>
      <w:r w:rsidRPr="00C4579B">
        <w:rPr>
          <w:b/>
        </w:rPr>
        <w:lastRenderedPageBreak/>
        <w:t>Conclusion</w:t>
      </w:r>
    </w:p>
    <w:p w:rsidR="00552CEB" w:rsidRPr="00C4579B" w:rsidRDefault="00C52000" w:rsidP="00D36C98">
      <w:pPr>
        <w:spacing w:after="360" w:line="360" w:lineRule="auto"/>
        <w:jc w:val="both"/>
      </w:pPr>
      <w:r w:rsidRPr="00C4579B">
        <w:t xml:space="preserve">One of Fraser’s </w:t>
      </w:r>
      <w:r w:rsidR="00EB4BF4" w:rsidRPr="00C4579B">
        <w:t xml:space="preserve">key </w:t>
      </w:r>
      <w:r w:rsidRPr="00C4579B">
        <w:t>point</w:t>
      </w:r>
      <w:r w:rsidR="005F4CE2" w:rsidRPr="00C4579B">
        <w:t>s is that the redistribution,</w:t>
      </w:r>
      <w:r w:rsidRPr="00C4579B">
        <w:t xml:space="preserve"> recognition</w:t>
      </w:r>
      <w:r w:rsidR="005F4CE2" w:rsidRPr="00C4579B">
        <w:t xml:space="preserve"> and representation</w:t>
      </w:r>
      <w:r w:rsidRPr="00C4579B">
        <w:t xml:space="preserve"> </w:t>
      </w:r>
      <w:r w:rsidR="00AD3B18" w:rsidRPr="00C4579B">
        <w:t>dimensions</w:t>
      </w:r>
      <w:r w:rsidRPr="00C4579B">
        <w:t xml:space="preserve"> of social justice are not </w:t>
      </w:r>
      <w:r w:rsidR="00003839" w:rsidRPr="00C4579B">
        <w:t>contradictory to each other;</w:t>
      </w:r>
      <w:r w:rsidRPr="00C4579B">
        <w:t xml:space="preserve"> they do not present an either/or </w:t>
      </w:r>
      <w:r w:rsidR="00E74F94" w:rsidRPr="00C4579B">
        <w:t>c</w:t>
      </w:r>
      <w:r w:rsidR="00C73EB1" w:rsidRPr="00C4579B">
        <w:t>hoice</w:t>
      </w:r>
      <w:r w:rsidRPr="00C4579B">
        <w:t>. Instead most social injustices are quite complex and often combine feat</w:t>
      </w:r>
      <w:r w:rsidR="00FA2A9D" w:rsidRPr="00C4579B">
        <w:t>ures of maldistribution</w:t>
      </w:r>
      <w:r w:rsidR="00BD2460" w:rsidRPr="00C4579B">
        <w:t>,</w:t>
      </w:r>
      <w:r w:rsidRPr="00C4579B">
        <w:t xml:space="preserve"> misrecognition</w:t>
      </w:r>
      <w:r w:rsidR="00FA2A9D" w:rsidRPr="00C4579B">
        <w:t xml:space="preserve"> and misrepresentation. This </w:t>
      </w:r>
      <w:r w:rsidR="00186B31" w:rsidRPr="00C4579B">
        <w:t>redistribution-recognition</w:t>
      </w:r>
      <w:r w:rsidR="00FA2A9D" w:rsidRPr="00C4579B">
        <w:t>-representation</w:t>
      </w:r>
      <w:r w:rsidR="00186B31" w:rsidRPr="00C4579B">
        <w:t xml:space="preserve"> dilemma is felt directly</w:t>
      </w:r>
      <w:r w:rsidR="00FA2A9D" w:rsidRPr="00C4579B">
        <w:t xml:space="preserve"> by </w:t>
      </w:r>
      <w:r w:rsidR="00A81E4E" w:rsidRPr="00C4579B">
        <w:t>many disabled persons.</w:t>
      </w:r>
      <w:r w:rsidR="00186B31" w:rsidRPr="00C4579B">
        <w:t xml:space="preserve"> </w:t>
      </w:r>
      <w:r w:rsidR="00A81E4E" w:rsidRPr="00C4579B">
        <w:t>T</w:t>
      </w:r>
      <w:r w:rsidR="00186B31" w:rsidRPr="00C4579B">
        <w:t xml:space="preserve">he disability movement, much like the feminist movement, is </w:t>
      </w:r>
      <w:r w:rsidR="00BD2460" w:rsidRPr="00C4579B">
        <w:t>therefore faced with this</w:t>
      </w:r>
      <w:r w:rsidR="00186B31" w:rsidRPr="00C4579B">
        <w:t xml:space="preserve"> complex and </w:t>
      </w:r>
      <w:r w:rsidR="00BD2460" w:rsidRPr="00C4579B">
        <w:t>challenging</w:t>
      </w:r>
      <w:r w:rsidR="00186B31" w:rsidRPr="00C4579B">
        <w:t xml:space="preserve"> dilemma when articulating claims for social justice (</w:t>
      </w:r>
      <w:proofErr w:type="spellStart"/>
      <w:r w:rsidR="00186B31" w:rsidRPr="00C4579B">
        <w:t>Hugemark</w:t>
      </w:r>
      <w:proofErr w:type="spellEnd"/>
      <w:r w:rsidR="00186B31" w:rsidRPr="00C4579B">
        <w:t xml:space="preserve"> &amp; Roman 2007:29). </w:t>
      </w:r>
      <w:r w:rsidRPr="00C4579B">
        <w:t xml:space="preserve">When Fraser argues for a paradigm of social justice that includes </w:t>
      </w:r>
      <w:r w:rsidR="00A81E4E" w:rsidRPr="00C4579B">
        <w:t xml:space="preserve">redistribution, recognition and representation </w:t>
      </w:r>
      <w:r w:rsidRPr="00C4579B">
        <w:t>she abandons the presumed ontological distinctions o</w:t>
      </w:r>
      <w:r w:rsidR="00A81E4E" w:rsidRPr="00C4579B">
        <w:t>f redistribution as material,</w:t>
      </w:r>
      <w:r w:rsidRPr="00C4579B">
        <w:t xml:space="preserve"> recognition as cultural</w:t>
      </w:r>
      <w:r w:rsidR="00A81E4E" w:rsidRPr="00C4579B">
        <w:t xml:space="preserve"> and representation as political</w:t>
      </w:r>
      <w:r w:rsidRPr="00C4579B">
        <w:t>, by tracing the distinctions to historical developments in social structures. In the case of the lived experiences o</w:t>
      </w:r>
      <w:r w:rsidR="00390B8A" w:rsidRPr="00C4579B">
        <w:t xml:space="preserve">f many persons with </w:t>
      </w:r>
      <w:r w:rsidR="00A81E4E" w:rsidRPr="00C4579B">
        <w:t>disabilities</w:t>
      </w:r>
      <w:r w:rsidRPr="00C4579B">
        <w:t xml:space="preserve"> it is </w:t>
      </w:r>
      <w:r w:rsidR="00A81E4E" w:rsidRPr="00C4579B">
        <w:t>obvious</w:t>
      </w:r>
      <w:r w:rsidRPr="00C4579B">
        <w:t xml:space="preserve"> t</w:t>
      </w:r>
      <w:r w:rsidR="006C17C3" w:rsidRPr="00C4579B">
        <w:t>hat systematic subordination,</w:t>
      </w:r>
      <w:r w:rsidR="00BB24F9" w:rsidRPr="00C4579B">
        <w:t xml:space="preserve"> stigmatization</w:t>
      </w:r>
      <w:r w:rsidR="006C17C3" w:rsidRPr="00C4579B">
        <w:t xml:space="preserve"> and a</w:t>
      </w:r>
      <w:r w:rsidR="00552CEB" w:rsidRPr="00C4579B">
        <w:t xml:space="preserve"> </w:t>
      </w:r>
      <w:r w:rsidR="006C17C3" w:rsidRPr="00C4579B">
        <w:t>general lack of power</w:t>
      </w:r>
      <w:r w:rsidR="00BB24F9" w:rsidRPr="00C4579B">
        <w:t xml:space="preserve"> in society come</w:t>
      </w:r>
      <w:r w:rsidRPr="00C4579B">
        <w:t xml:space="preserve"> together with economic hardship of varying degrees. </w:t>
      </w:r>
      <w:r w:rsidR="006B4061" w:rsidRPr="00C4579B">
        <w:t>These injustices can</w:t>
      </w:r>
      <w:r w:rsidR="001E5371" w:rsidRPr="00C4579B">
        <w:t xml:space="preserve"> be viewed as</w:t>
      </w:r>
      <w:r w:rsidR="006B4061" w:rsidRPr="00C4579B">
        <w:t xml:space="preserve"> three-</w:t>
      </w:r>
      <w:r w:rsidRPr="00C4579B">
        <w:t xml:space="preserve">dimensional as they are rooted </w:t>
      </w:r>
      <w:r w:rsidR="00552CEB" w:rsidRPr="00C4579B">
        <w:t>both in</w:t>
      </w:r>
      <w:r w:rsidRPr="00C4579B">
        <w:t xml:space="preserve"> economic structure and in the status order of society</w:t>
      </w:r>
      <w:r w:rsidR="00F26E0E" w:rsidRPr="00C4579B">
        <w:t xml:space="preserve"> (Fraser</w:t>
      </w:r>
      <w:r w:rsidR="006B4061" w:rsidRPr="00C4579B">
        <w:t xml:space="preserve"> 2005</w:t>
      </w:r>
      <w:r w:rsidRPr="00C4579B">
        <w:t>).</w:t>
      </w:r>
      <w:r w:rsidR="006C17C3" w:rsidRPr="00C4579B">
        <w:t xml:space="preserve"> </w:t>
      </w:r>
      <w:r w:rsidR="008602D8" w:rsidRPr="00C4579B">
        <w:t>From a macro perspective, t</w:t>
      </w:r>
      <w:r w:rsidR="00522E77" w:rsidRPr="00C4579B">
        <w:t xml:space="preserve">he Swedish welfare state </w:t>
      </w:r>
      <w:r w:rsidR="00552CEB" w:rsidRPr="00C4579B">
        <w:t>is often described as</w:t>
      </w:r>
      <w:r w:rsidR="0088231E" w:rsidRPr="00C4579B">
        <w:t xml:space="preserve"> </w:t>
      </w:r>
      <w:r w:rsidR="00522E77" w:rsidRPr="00C4579B">
        <w:t>excel</w:t>
      </w:r>
      <w:r w:rsidR="00552CEB" w:rsidRPr="00C4579B">
        <w:t>ling</w:t>
      </w:r>
      <w:r w:rsidR="00522E77" w:rsidRPr="00C4579B">
        <w:t xml:space="preserve"> in the </w:t>
      </w:r>
      <w:r w:rsidR="00D83A6B" w:rsidRPr="00C4579B">
        <w:t>redistributive aspect</w:t>
      </w:r>
      <w:r w:rsidR="001935D7" w:rsidRPr="00C4579B">
        <w:t>, b</w:t>
      </w:r>
      <w:r w:rsidR="00522E77" w:rsidRPr="00C4579B">
        <w:t xml:space="preserve">ut the normality of the ideal social citizenship creates a pressure </w:t>
      </w:r>
      <w:r w:rsidR="001935D7" w:rsidRPr="00C4579B">
        <w:t>at</w:t>
      </w:r>
      <w:r w:rsidR="00522E77" w:rsidRPr="00C4579B">
        <w:t xml:space="preserve"> the individual level that leads to misrecognition </w:t>
      </w:r>
      <w:r w:rsidR="008602D8" w:rsidRPr="00C4579B">
        <w:t>and misrepresentation of people with disabilities. And from the micro perspective of the special transport services, the</w:t>
      </w:r>
      <w:r w:rsidR="00522E77" w:rsidRPr="00C4579B">
        <w:t xml:space="preserve"> </w:t>
      </w:r>
      <w:r w:rsidR="00727CA2" w:rsidRPr="00C4579B">
        <w:t xml:space="preserve">absence of </w:t>
      </w:r>
      <w:r w:rsidR="001A4552" w:rsidRPr="00C4579B">
        <w:t>being able to control</w:t>
      </w:r>
      <w:r w:rsidR="00522E77" w:rsidRPr="00C4579B">
        <w:t xml:space="preserve"> basic things</w:t>
      </w:r>
      <w:r w:rsidR="00727CA2" w:rsidRPr="00C4579B">
        <w:t xml:space="preserve"> in daily life </w:t>
      </w:r>
      <w:r w:rsidR="00522E77" w:rsidRPr="00C4579B">
        <w:t xml:space="preserve">can be viewed as </w:t>
      </w:r>
      <w:r w:rsidR="00A41997" w:rsidRPr="00C4579B">
        <w:t>a systematic and institutional</w:t>
      </w:r>
      <w:r w:rsidR="00727CA2" w:rsidRPr="00C4579B">
        <w:t>ized pattern of cultural</w:t>
      </w:r>
      <w:r w:rsidR="00351B87" w:rsidRPr="00C4579B">
        <w:t xml:space="preserve"> and political</w:t>
      </w:r>
      <w:r w:rsidR="00727CA2" w:rsidRPr="00C4579B">
        <w:t xml:space="preserve"> value</w:t>
      </w:r>
      <w:r w:rsidR="00351B87" w:rsidRPr="00C4579B">
        <w:t xml:space="preserve">s. In this case the </w:t>
      </w:r>
      <w:r w:rsidR="00727CA2" w:rsidRPr="00C4579B">
        <w:t xml:space="preserve">pattern is </w:t>
      </w:r>
      <w:r w:rsidR="0013121B" w:rsidRPr="00C4579B">
        <w:t>operating</w:t>
      </w:r>
      <w:r w:rsidR="008602D8" w:rsidRPr="00C4579B">
        <w:t xml:space="preserve"> within</w:t>
      </w:r>
      <w:r w:rsidR="00A41997" w:rsidRPr="00C4579B">
        <w:t xml:space="preserve"> the legal </w:t>
      </w:r>
      <w:r w:rsidR="0013121B" w:rsidRPr="00C4579B">
        <w:t>framework</w:t>
      </w:r>
      <w:r w:rsidR="00A41997" w:rsidRPr="00C4579B">
        <w:t xml:space="preserve"> of the social service state. To </w:t>
      </w:r>
      <w:r w:rsidR="008602D8" w:rsidRPr="00C4579B">
        <w:t>move toward greater social justice</w:t>
      </w:r>
      <w:r w:rsidR="00A41997" w:rsidRPr="00C4579B">
        <w:t xml:space="preserve"> a change </w:t>
      </w:r>
      <w:r w:rsidR="00C22D53" w:rsidRPr="00C4579B">
        <w:t xml:space="preserve">is needed </w:t>
      </w:r>
      <w:r w:rsidR="0013121B" w:rsidRPr="00C4579B">
        <w:t>in this</w:t>
      </w:r>
      <w:r w:rsidR="00A41997" w:rsidRPr="00C4579B">
        <w:t xml:space="preserve"> cultural </w:t>
      </w:r>
      <w:r w:rsidR="00351B87" w:rsidRPr="00C4579B">
        <w:t xml:space="preserve">and political </w:t>
      </w:r>
      <w:r w:rsidR="00A41997" w:rsidRPr="00C4579B">
        <w:t xml:space="preserve">pattern, a change that </w:t>
      </w:r>
      <w:r w:rsidR="00875D60" w:rsidRPr="00C4579B">
        <w:t>will allow</w:t>
      </w:r>
      <w:r w:rsidR="00522E77" w:rsidRPr="00C4579B">
        <w:t xml:space="preserve"> the welfare state </w:t>
      </w:r>
      <w:r w:rsidR="00875D60" w:rsidRPr="00C4579B">
        <w:t xml:space="preserve">to </w:t>
      </w:r>
      <w:r w:rsidR="00727CA2" w:rsidRPr="00C4579B">
        <w:t>continue</w:t>
      </w:r>
      <w:r w:rsidR="00C124E6" w:rsidRPr="00C4579B">
        <w:t xml:space="preserve"> </w:t>
      </w:r>
      <w:r w:rsidR="00351B87" w:rsidRPr="00C4579B">
        <w:t>with the comparatively successful</w:t>
      </w:r>
      <w:r w:rsidR="00C124E6" w:rsidRPr="00C4579B">
        <w:t xml:space="preserve"> redistribution</w:t>
      </w:r>
      <w:r w:rsidR="00351B87" w:rsidRPr="00C4579B">
        <w:t xml:space="preserve"> of material goods,</w:t>
      </w:r>
      <w:r w:rsidR="00C124E6" w:rsidRPr="00C4579B">
        <w:t xml:space="preserve"> but that also </w:t>
      </w:r>
      <w:r w:rsidR="00A41997" w:rsidRPr="00C4579B">
        <w:t>transfers power</w:t>
      </w:r>
      <w:r w:rsidR="00727CA2" w:rsidRPr="00C4579B">
        <w:t xml:space="preserve"> and autonomy</w:t>
      </w:r>
      <w:r w:rsidR="00A41997" w:rsidRPr="00C4579B">
        <w:t xml:space="preserve"> over </w:t>
      </w:r>
      <w:r w:rsidR="00351B87" w:rsidRPr="00C4579B">
        <w:t xml:space="preserve">basic </w:t>
      </w:r>
      <w:r w:rsidR="00A41997" w:rsidRPr="00C4579B">
        <w:t xml:space="preserve">daily life decisions </w:t>
      </w:r>
      <w:r w:rsidR="00C124E6" w:rsidRPr="00C4579B">
        <w:t>to the concerned individuals.</w:t>
      </w:r>
    </w:p>
    <w:p w:rsidR="00FF5610" w:rsidRDefault="00FF5610" w:rsidP="00D36C98">
      <w:pPr>
        <w:pStyle w:val="Title"/>
        <w:spacing w:before="0" w:after="360" w:line="360" w:lineRule="auto"/>
        <w:jc w:val="left"/>
        <w:rPr>
          <w:rFonts w:ascii="Times New Roman" w:hAnsi="Times New Roman"/>
          <w:sz w:val="24"/>
          <w:szCs w:val="24"/>
          <w:lang w:val="en-GB"/>
        </w:rPr>
      </w:pPr>
    </w:p>
    <w:p w:rsidR="00CD101F" w:rsidRDefault="00CD101F">
      <w:pPr>
        <w:rPr>
          <w:b/>
          <w:bCs/>
          <w:kern w:val="28"/>
          <w:lang w:val="en-GB"/>
        </w:rPr>
      </w:pPr>
      <w:r>
        <w:rPr>
          <w:lang w:val="en-GB"/>
        </w:rPr>
        <w:br w:type="page"/>
      </w:r>
    </w:p>
    <w:p w:rsidR="0006335D" w:rsidRPr="004A7E6A" w:rsidRDefault="004A7E6A" w:rsidP="00D36C98">
      <w:pPr>
        <w:pStyle w:val="Title"/>
        <w:spacing w:before="0" w:after="360" w:line="360" w:lineRule="auto"/>
        <w:jc w:val="left"/>
        <w:rPr>
          <w:rFonts w:ascii="Times New Roman" w:hAnsi="Times New Roman"/>
          <w:sz w:val="24"/>
          <w:szCs w:val="24"/>
          <w:lang w:val="en-GB"/>
        </w:rPr>
      </w:pPr>
      <w:r>
        <w:rPr>
          <w:rFonts w:ascii="Times New Roman" w:hAnsi="Times New Roman"/>
          <w:sz w:val="24"/>
          <w:szCs w:val="24"/>
          <w:lang w:val="en-GB"/>
        </w:rPr>
        <w:lastRenderedPageBreak/>
        <w:t>References</w:t>
      </w:r>
    </w:p>
    <w:p w:rsidR="00176467" w:rsidRPr="004A7E6A" w:rsidRDefault="00176467" w:rsidP="00D36C98">
      <w:pPr>
        <w:spacing w:after="360"/>
        <w:rPr>
          <w:rStyle w:val="FootnoteTextChar"/>
          <w:sz w:val="20"/>
          <w:szCs w:val="20"/>
          <w:lang w:val="sv-SE"/>
        </w:rPr>
      </w:pPr>
      <w:proofErr w:type="spellStart"/>
      <w:proofErr w:type="gramStart"/>
      <w:r w:rsidRPr="004A7E6A">
        <w:rPr>
          <w:rStyle w:val="FootnoteTextChar"/>
          <w:sz w:val="20"/>
          <w:szCs w:val="20"/>
        </w:rPr>
        <w:t>Anttonen</w:t>
      </w:r>
      <w:proofErr w:type="spellEnd"/>
      <w:r w:rsidRPr="004A7E6A">
        <w:rPr>
          <w:rStyle w:val="FootnoteTextChar"/>
          <w:sz w:val="20"/>
          <w:szCs w:val="20"/>
        </w:rPr>
        <w:t>, A. (</w:t>
      </w:r>
      <w:r w:rsidR="0072767E">
        <w:rPr>
          <w:rStyle w:val="FootnoteTextChar"/>
          <w:sz w:val="20"/>
          <w:szCs w:val="20"/>
        </w:rPr>
        <w:t>1997) ‘The Welfare State and S</w:t>
      </w:r>
      <w:r w:rsidRPr="004A7E6A">
        <w:rPr>
          <w:rStyle w:val="FootnoteTextChar"/>
          <w:sz w:val="20"/>
          <w:szCs w:val="20"/>
        </w:rPr>
        <w:t xml:space="preserve">ocial </w:t>
      </w:r>
      <w:r w:rsidR="0072767E">
        <w:rPr>
          <w:rStyle w:val="FootnoteTextChar"/>
          <w:sz w:val="20"/>
          <w:szCs w:val="20"/>
        </w:rPr>
        <w:t>C</w:t>
      </w:r>
      <w:r w:rsidR="00145B08" w:rsidRPr="004A7E6A">
        <w:rPr>
          <w:rStyle w:val="FootnoteTextChar"/>
          <w:sz w:val="20"/>
          <w:szCs w:val="20"/>
        </w:rPr>
        <w:t xml:space="preserve">itizenship’ in </w:t>
      </w:r>
      <w:proofErr w:type="spellStart"/>
      <w:r w:rsidR="00145B08" w:rsidRPr="004A7E6A">
        <w:rPr>
          <w:rStyle w:val="FootnoteTextChar"/>
          <w:sz w:val="20"/>
          <w:szCs w:val="20"/>
        </w:rPr>
        <w:t>Kauppinen</w:t>
      </w:r>
      <w:proofErr w:type="spellEnd"/>
      <w:r w:rsidR="00145B08" w:rsidRPr="004A7E6A">
        <w:rPr>
          <w:rStyle w:val="FootnoteTextChar"/>
          <w:sz w:val="20"/>
          <w:szCs w:val="20"/>
        </w:rPr>
        <w:t>, K. and Gordon, T.</w:t>
      </w:r>
      <w:r w:rsidRPr="004A7E6A">
        <w:rPr>
          <w:rStyle w:val="FootnoteTextChar"/>
          <w:sz w:val="20"/>
          <w:szCs w:val="20"/>
        </w:rPr>
        <w:t xml:space="preserve"> (eds</w:t>
      </w:r>
      <w:r w:rsidR="00145B08" w:rsidRPr="004A7E6A">
        <w:rPr>
          <w:rStyle w:val="FootnoteTextChar"/>
          <w:sz w:val="20"/>
          <w:szCs w:val="20"/>
        </w:rPr>
        <w:t>.</w:t>
      </w:r>
      <w:r w:rsidRPr="004A7E6A">
        <w:rPr>
          <w:rStyle w:val="FootnoteTextChar"/>
          <w:sz w:val="20"/>
          <w:szCs w:val="20"/>
        </w:rPr>
        <w:t xml:space="preserve">) </w:t>
      </w:r>
      <w:r w:rsidR="0072767E">
        <w:rPr>
          <w:rStyle w:val="FootnoteTextChar"/>
          <w:i/>
          <w:sz w:val="20"/>
          <w:szCs w:val="20"/>
        </w:rPr>
        <w:t>Unresolved dilemmas.</w:t>
      </w:r>
      <w:proofErr w:type="gramEnd"/>
      <w:r w:rsidR="0072767E">
        <w:rPr>
          <w:rStyle w:val="FootnoteTextChar"/>
          <w:i/>
          <w:sz w:val="20"/>
          <w:szCs w:val="20"/>
        </w:rPr>
        <w:t xml:space="preserve"> </w:t>
      </w:r>
      <w:proofErr w:type="gramStart"/>
      <w:r w:rsidR="0072767E">
        <w:rPr>
          <w:rStyle w:val="FootnoteTextChar"/>
          <w:i/>
          <w:sz w:val="20"/>
          <w:szCs w:val="20"/>
        </w:rPr>
        <w:t>Women, Work and the F</w:t>
      </w:r>
      <w:r w:rsidRPr="004A7E6A">
        <w:rPr>
          <w:rStyle w:val="FootnoteTextChar"/>
          <w:i/>
          <w:sz w:val="20"/>
          <w:szCs w:val="20"/>
        </w:rPr>
        <w:t>amily in the</w:t>
      </w:r>
      <w:r w:rsidR="0072767E">
        <w:rPr>
          <w:rStyle w:val="FootnoteTextChar"/>
          <w:i/>
          <w:sz w:val="20"/>
          <w:szCs w:val="20"/>
        </w:rPr>
        <w:t xml:space="preserve"> United States, Europe and the F</w:t>
      </w:r>
      <w:r w:rsidRPr="004A7E6A">
        <w:rPr>
          <w:rStyle w:val="FootnoteTextChar"/>
          <w:i/>
          <w:sz w:val="20"/>
          <w:szCs w:val="20"/>
        </w:rPr>
        <w:t>ormer Soviet Union</w:t>
      </w:r>
      <w:r w:rsidRPr="004A7E6A">
        <w:rPr>
          <w:rStyle w:val="FootnoteTextChar"/>
          <w:sz w:val="20"/>
          <w:szCs w:val="20"/>
        </w:rPr>
        <w:t>.</w:t>
      </w:r>
      <w:proofErr w:type="gramEnd"/>
      <w:r w:rsidRPr="004A7E6A">
        <w:rPr>
          <w:rStyle w:val="FootnoteTextChar"/>
          <w:sz w:val="20"/>
          <w:szCs w:val="20"/>
        </w:rPr>
        <w:t xml:space="preserve"> </w:t>
      </w:r>
      <w:r w:rsidRPr="004A7E6A">
        <w:rPr>
          <w:rStyle w:val="FootnoteTextChar"/>
          <w:sz w:val="20"/>
          <w:szCs w:val="20"/>
          <w:lang w:val="sv-SE"/>
        </w:rPr>
        <w:t>Aldershot: Ashgate.</w:t>
      </w:r>
    </w:p>
    <w:p w:rsidR="001D2542" w:rsidRPr="004A7E6A" w:rsidRDefault="001D2542" w:rsidP="00D36C98">
      <w:pPr>
        <w:spacing w:after="360"/>
        <w:rPr>
          <w:rStyle w:val="FootnoteTextChar"/>
          <w:sz w:val="20"/>
          <w:szCs w:val="20"/>
          <w:lang w:val="sv-SE"/>
        </w:rPr>
      </w:pPr>
      <w:r w:rsidRPr="004A7E6A">
        <w:rPr>
          <w:rStyle w:val="FootnoteTextChar"/>
          <w:sz w:val="20"/>
          <w:szCs w:val="20"/>
          <w:lang w:val="sv-SE"/>
        </w:rPr>
        <w:t xml:space="preserve">Anttonen, A. (1998) ‘Den sociala servicestaten som feministiskt kampbegrepp’ in </w:t>
      </w:r>
      <w:r w:rsidRPr="004A7E6A">
        <w:rPr>
          <w:rStyle w:val="FootnoteTextChar"/>
          <w:i/>
          <w:sz w:val="20"/>
          <w:szCs w:val="20"/>
          <w:lang w:val="sv-SE"/>
        </w:rPr>
        <w:t>Vad förgår och vad består? En antologi om äldreomsorg, kvinnosyn och socialpolitik</w:t>
      </w:r>
      <w:r w:rsidRPr="004A7E6A">
        <w:rPr>
          <w:rStyle w:val="FootnoteTextChar"/>
          <w:sz w:val="20"/>
          <w:szCs w:val="20"/>
          <w:lang w:val="sv-SE"/>
        </w:rPr>
        <w:t>. Lund: Arkiv förlag.</w:t>
      </w:r>
    </w:p>
    <w:p w:rsidR="001C5A1C" w:rsidRPr="004A7E6A" w:rsidRDefault="001C5A1C" w:rsidP="00D36C98">
      <w:pPr>
        <w:spacing w:after="360"/>
        <w:rPr>
          <w:rStyle w:val="FootnoteTextChar"/>
          <w:sz w:val="20"/>
          <w:szCs w:val="20"/>
          <w:lang w:val="sv-SE"/>
        </w:rPr>
      </w:pPr>
      <w:r w:rsidRPr="004A7E6A">
        <w:rPr>
          <w:rStyle w:val="FootnoteTextChar"/>
          <w:sz w:val="20"/>
          <w:szCs w:val="20"/>
          <w:lang w:val="nb-NO"/>
        </w:rPr>
        <w:t xml:space="preserve">Askheim, O. P. (2005) </w:t>
      </w:r>
      <w:r w:rsidRPr="004A7E6A">
        <w:rPr>
          <w:rStyle w:val="FootnoteTextChar"/>
          <w:i/>
          <w:sz w:val="20"/>
          <w:szCs w:val="20"/>
          <w:lang w:val="nb-NO"/>
        </w:rPr>
        <w:t>Fra normalisering til empowerment. Ideologier og praksis i arbeid med funksjonshemmede</w:t>
      </w:r>
      <w:r w:rsidRPr="004A7E6A">
        <w:rPr>
          <w:rStyle w:val="FootnoteTextChar"/>
          <w:sz w:val="20"/>
          <w:szCs w:val="20"/>
          <w:lang w:val="nb-NO"/>
        </w:rPr>
        <w:t xml:space="preserve">. </w:t>
      </w:r>
      <w:r w:rsidRPr="004A7E6A">
        <w:rPr>
          <w:rStyle w:val="FootnoteTextChar"/>
          <w:sz w:val="20"/>
          <w:szCs w:val="20"/>
          <w:lang w:val="sv-SE"/>
        </w:rPr>
        <w:t>Oslo: Gyldendal Aakademisk.</w:t>
      </w:r>
    </w:p>
    <w:p w:rsidR="00B552B4" w:rsidRPr="004A7E6A" w:rsidRDefault="00B552B4" w:rsidP="00D36C98">
      <w:pPr>
        <w:spacing w:after="360"/>
        <w:rPr>
          <w:rStyle w:val="FootnoteTextChar"/>
          <w:sz w:val="20"/>
          <w:szCs w:val="20"/>
          <w:lang w:val="sv-SE"/>
        </w:rPr>
      </w:pPr>
      <w:r w:rsidRPr="004A7E6A">
        <w:rPr>
          <w:rStyle w:val="FootnoteTextChar"/>
          <w:sz w:val="20"/>
          <w:szCs w:val="20"/>
          <w:lang w:val="sv-SE"/>
        </w:rPr>
        <w:t>Barron, K</w:t>
      </w:r>
      <w:r w:rsidR="0072767E">
        <w:rPr>
          <w:rStyle w:val="FootnoteTextChar"/>
          <w:sz w:val="20"/>
          <w:szCs w:val="20"/>
          <w:lang w:val="sv-SE"/>
        </w:rPr>
        <w:t>.</w:t>
      </w:r>
      <w:r w:rsidRPr="004A7E6A">
        <w:rPr>
          <w:rStyle w:val="FootnoteTextChar"/>
          <w:sz w:val="20"/>
          <w:szCs w:val="20"/>
          <w:lang w:val="sv-SE"/>
        </w:rPr>
        <w:t xml:space="preserve"> (2000) ‘Ung och funktionshindrad i ett föränderligt samhälle’ in Tideman, M. (ed.) </w:t>
      </w:r>
      <w:r w:rsidRPr="004A7E6A">
        <w:rPr>
          <w:rStyle w:val="FootnoteTextChar"/>
          <w:i/>
          <w:sz w:val="20"/>
          <w:szCs w:val="20"/>
          <w:lang w:val="sv-SE"/>
        </w:rPr>
        <w:t>Perspektiv på funktionshinder &amp; handikapp</w:t>
      </w:r>
      <w:r w:rsidRPr="004A7E6A">
        <w:rPr>
          <w:rStyle w:val="FootnoteTextChar"/>
          <w:sz w:val="20"/>
          <w:szCs w:val="20"/>
          <w:lang w:val="sv-SE"/>
        </w:rPr>
        <w:t>. Lund: Studentlitteratur.</w:t>
      </w:r>
    </w:p>
    <w:p w:rsidR="00263EC9" w:rsidRPr="004A7E6A" w:rsidRDefault="002C2E51" w:rsidP="00D36C98">
      <w:pPr>
        <w:spacing w:after="360"/>
        <w:rPr>
          <w:rStyle w:val="FootnoteTextChar"/>
          <w:sz w:val="20"/>
          <w:szCs w:val="20"/>
        </w:rPr>
      </w:pPr>
      <w:r w:rsidRPr="004A7E6A">
        <w:rPr>
          <w:sz w:val="20"/>
          <w:szCs w:val="20"/>
          <w:lang w:val="sv-SE"/>
        </w:rPr>
        <w:t xml:space="preserve">Christiansen, N. F. &amp; Markkola, P. (2006) ‘Introduction’ in </w:t>
      </w:r>
      <w:r w:rsidRPr="004A7E6A">
        <w:rPr>
          <w:rStyle w:val="FootnoteTextChar"/>
          <w:sz w:val="20"/>
          <w:szCs w:val="20"/>
          <w:lang w:val="sv-SE"/>
        </w:rPr>
        <w:t xml:space="preserve">Christiansen, N. F., Petersen, K., Edling N. &amp; Haave, P. (eds.) </w:t>
      </w:r>
      <w:proofErr w:type="gramStart"/>
      <w:r w:rsidRPr="004A7E6A">
        <w:rPr>
          <w:rStyle w:val="FootnoteTextChar"/>
          <w:i/>
          <w:sz w:val="20"/>
          <w:szCs w:val="20"/>
        </w:rPr>
        <w:t>The Nordic Model of Welfare.</w:t>
      </w:r>
      <w:proofErr w:type="gramEnd"/>
      <w:r w:rsidRPr="004A7E6A">
        <w:rPr>
          <w:rStyle w:val="FootnoteTextChar"/>
          <w:i/>
          <w:sz w:val="20"/>
          <w:szCs w:val="20"/>
        </w:rPr>
        <w:t xml:space="preserve"> </w:t>
      </w:r>
      <w:proofErr w:type="gramStart"/>
      <w:r w:rsidRPr="004A7E6A">
        <w:rPr>
          <w:rStyle w:val="FootnoteTextChar"/>
          <w:i/>
          <w:sz w:val="20"/>
          <w:szCs w:val="20"/>
        </w:rPr>
        <w:t>A Historical Reappraisal</w:t>
      </w:r>
      <w:r w:rsidRPr="004A7E6A">
        <w:rPr>
          <w:rStyle w:val="FootnoteTextChar"/>
          <w:sz w:val="20"/>
          <w:szCs w:val="20"/>
        </w:rPr>
        <w:t>.</w:t>
      </w:r>
      <w:proofErr w:type="gramEnd"/>
      <w:r w:rsidRPr="004A7E6A">
        <w:rPr>
          <w:rStyle w:val="FootnoteTextChar"/>
          <w:sz w:val="20"/>
          <w:szCs w:val="20"/>
        </w:rPr>
        <w:t xml:space="preserve"> Copenhagen: Museum </w:t>
      </w:r>
      <w:proofErr w:type="spellStart"/>
      <w:r w:rsidRPr="004A7E6A">
        <w:rPr>
          <w:rStyle w:val="FootnoteTextChar"/>
          <w:sz w:val="20"/>
          <w:szCs w:val="20"/>
        </w:rPr>
        <w:t>Tusculanum</w:t>
      </w:r>
      <w:proofErr w:type="spellEnd"/>
      <w:r w:rsidRPr="004A7E6A">
        <w:rPr>
          <w:rStyle w:val="FootnoteTextChar"/>
          <w:sz w:val="20"/>
          <w:szCs w:val="20"/>
        </w:rPr>
        <w:t xml:space="preserve"> Press.</w:t>
      </w:r>
    </w:p>
    <w:p w:rsidR="00263EC9" w:rsidRPr="004A7E6A" w:rsidRDefault="00263EC9" w:rsidP="00D36C98">
      <w:pPr>
        <w:spacing w:after="360"/>
        <w:rPr>
          <w:rStyle w:val="FootnoteTextChar"/>
          <w:sz w:val="20"/>
          <w:szCs w:val="20"/>
          <w:lang w:val="sv-SE"/>
        </w:rPr>
      </w:pPr>
      <w:proofErr w:type="spellStart"/>
      <w:r w:rsidRPr="004A7E6A">
        <w:rPr>
          <w:rStyle w:val="FootnoteTextChar"/>
          <w:sz w:val="20"/>
          <w:szCs w:val="20"/>
        </w:rPr>
        <w:t>Danermark</w:t>
      </w:r>
      <w:proofErr w:type="spellEnd"/>
      <w:r w:rsidRPr="004A7E6A">
        <w:rPr>
          <w:rStyle w:val="FootnoteTextChar"/>
          <w:sz w:val="20"/>
          <w:szCs w:val="20"/>
        </w:rPr>
        <w:t xml:space="preserve">, B. &amp; </w:t>
      </w:r>
      <w:proofErr w:type="spellStart"/>
      <w:r w:rsidRPr="004A7E6A">
        <w:rPr>
          <w:rStyle w:val="FootnoteTextChar"/>
          <w:sz w:val="20"/>
          <w:szCs w:val="20"/>
        </w:rPr>
        <w:t>Gel</w:t>
      </w:r>
      <w:r w:rsidR="0072767E">
        <w:rPr>
          <w:rStyle w:val="FootnoteTextChar"/>
          <w:sz w:val="20"/>
          <w:szCs w:val="20"/>
        </w:rPr>
        <w:t>lerstedt</w:t>
      </w:r>
      <w:proofErr w:type="spellEnd"/>
      <w:r w:rsidR="0072767E">
        <w:rPr>
          <w:rStyle w:val="FootnoteTextChar"/>
          <w:sz w:val="20"/>
          <w:szCs w:val="20"/>
        </w:rPr>
        <w:t>, L. C. (2004) ‘Social Justice: Redistribution and Recognition – a N</w:t>
      </w:r>
      <w:r w:rsidRPr="004A7E6A">
        <w:rPr>
          <w:rStyle w:val="FootnoteTextChar"/>
          <w:sz w:val="20"/>
          <w:szCs w:val="20"/>
        </w:rPr>
        <w:t xml:space="preserve">on-reductionist </w:t>
      </w:r>
      <w:r w:rsidR="0072767E">
        <w:rPr>
          <w:rStyle w:val="FootnoteTextChar"/>
          <w:sz w:val="20"/>
          <w:szCs w:val="20"/>
        </w:rPr>
        <w:t>Perspective on D</w:t>
      </w:r>
      <w:r w:rsidRPr="004A7E6A">
        <w:rPr>
          <w:rStyle w:val="FootnoteTextChar"/>
          <w:sz w:val="20"/>
          <w:szCs w:val="20"/>
        </w:rPr>
        <w:t xml:space="preserve">isability’. </w:t>
      </w:r>
      <w:r w:rsidRPr="004A7E6A">
        <w:rPr>
          <w:rStyle w:val="FootnoteTextChar"/>
          <w:i/>
          <w:sz w:val="20"/>
          <w:szCs w:val="20"/>
          <w:lang w:val="sv-SE"/>
        </w:rPr>
        <w:t>Disability &amp; Society</w:t>
      </w:r>
      <w:r w:rsidRPr="004A7E6A">
        <w:rPr>
          <w:rStyle w:val="FootnoteTextChar"/>
          <w:sz w:val="20"/>
          <w:szCs w:val="20"/>
          <w:lang w:val="sv-SE"/>
        </w:rPr>
        <w:t xml:space="preserve"> 19:4, 339–353</w:t>
      </w:r>
      <w:r w:rsidR="00B1322A" w:rsidRPr="004A7E6A">
        <w:rPr>
          <w:rStyle w:val="FootnoteTextChar"/>
          <w:sz w:val="20"/>
          <w:szCs w:val="20"/>
          <w:lang w:val="sv-SE"/>
        </w:rPr>
        <w:t>.</w:t>
      </w:r>
    </w:p>
    <w:p w:rsidR="00987390" w:rsidRPr="004A7E6A" w:rsidRDefault="00CC0475" w:rsidP="00D36C98">
      <w:pPr>
        <w:spacing w:after="360"/>
        <w:rPr>
          <w:rStyle w:val="FootnoteTextChar"/>
          <w:sz w:val="20"/>
          <w:szCs w:val="20"/>
          <w:lang w:val="sv-SE"/>
        </w:rPr>
      </w:pPr>
      <w:r w:rsidRPr="004A7E6A">
        <w:rPr>
          <w:rStyle w:val="FootnoteTextChar"/>
          <w:sz w:val="20"/>
          <w:szCs w:val="20"/>
          <w:lang w:val="sv-SE"/>
        </w:rPr>
        <w:t xml:space="preserve">Davidsson, G. (2001) </w:t>
      </w:r>
      <w:r w:rsidRPr="004A7E6A">
        <w:rPr>
          <w:rStyle w:val="FootnoteTextChar"/>
          <w:i/>
          <w:sz w:val="20"/>
          <w:szCs w:val="20"/>
          <w:lang w:val="sv-SE"/>
        </w:rPr>
        <w:t>Funktionshindrades resvanor</w:t>
      </w:r>
      <w:r w:rsidRPr="004A7E6A">
        <w:rPr>
          <w:rStyle w:val="FootnoteTextChar"/>
          <w:sz w:val="20"/>
          <w:szCs w:val="20"/>
          <w:lang w:val="sv-SE"/>
        </w:rPr>
        <w:t>. Stockholm: Statistiska Centralbyrån SCB</w:t>
      </w:r>
      <w:r w:rsidR="007F6EF3" w:rsidRPr="004A7E6A">
        <w:rPr>
          <w:rStyle w:val="FootnoteTextChar"/>
          <w:sz w:val="20"/>
          <w:szCs w:val="20"/>
          <w:lang w:val="sv-SE"/>
        </w:rPr>
        <w:t>.</w:t>
      </w:r>
    </w:p>
    <w:p w:rsidR="00A67187" w:rsidRPr="00E85A12" w:rsidRDefault="00A67187" w:rsidP="00D36C98">
      <w:pPr>
        <w:spacing w:after="360"/>
        <w:rPr>
          <w:rStyle w:val="FootnoteTextChar"/>
          <w:sz w:val="20"/>
          <w:szCs w:val="20"/>
        </w:rPr>
      </w:pPr>
      <w:r w:rsidRPr="004A7E6A">
        <w:rPr>
          <w:rStyle w:val="FootnoteTextChar"/>
          <w:sz w:val="20"/>
          <w:szCs w:val="20"/>
          <w:lang w:val="sv-SE"/>
        </w:rPr>
        <w:t xml:space="preserve">Ekensteen, V. (2006) ‘Självbestämmande </w:t>
      </w:r>
      <w:r w:rsidR="00DE6D67" w:rsidRPr="004A7E6A">
        <w:rPr>
          <w:rStyle w:val="FootnoteTextChar"/>
          <w:sz w:val="20"/>
          <w:szCs w:val="20"/>
          <w:lang w:val="sv-SE"/>
        </w:rPr>
        <w:t>genom</w:t>
      </w:r>
      <w:r w:rsidRPr="004A7E6A">
        <w:rPr>
          <w:rStyle w:val="FootnoteTextChar"/>
          <w:sz w:val="20"/>
          <w:szCs w:val="20"/>
          <w:lang w:val="sv-SE"/>
        </w:rPr>
        <w:t xml:space="preserve"> personlig assistans’ in</w:t>
      </w:r>
      <w:r w:rsidR="00DE6D67" w:rsidRPr="004A7E6A">
        <w:rPr>
          <w:rStyle w:val="FootnoteTextChar"/>
          <w:sz w:val="20"/>
          <w:szCs w:val="20"/>
          <w:lang w:val="sv-SE"/>
        </w:rPr>
        <w:t xml:space="preserve"> Brusén, P. &amp; Printz, A. (eds.)</w:t>
      </w:r>
      <w:r w:rsidRPr="004A7E6A">
        <w:rPr>
          <w:rStyle w:val="FootnoteTextChar"/>
          <w:sz w:val="20"/>
          <w:szCs w:val="20"/>
          <w:lang w:val="sv-SE"/>
        </w:rPr>
        <w:t xml:space="preserve"> </w:t>
      </w:r>
      <w:proofErr w:type="spellStart"/>
      <w:proofErr w:type="gramStart"/>
      <w:r w:rsidRPr="00E85A12">
        <w:rPr>
          <w:rStyle w:val="FootnoteTextChar"/>
          <w:i/>
          <w:sz w:val="20"/>
          <w:szCs w:val="20"/>
        </w:rPr>
        <w:t>Handikappolitiken</w:t>
      </w:r>
      <w:proofErr w:type="spellEnd"/>
      <w:r w:rsidRPr="00E85A12">
        <w:rPr>
          <w:rStyle w:val="FootnoteTextChar"/>
          <w:i/>
          <w:sz w:val="20"/>
          <w:szCs w:val="20"/>
        </w:rPr>
        <w:t xml:space="preserve"> </w:t>
      </w:r>
      <w:proofErr w:type="spellStart"/>
      <w:r w:rsidRPr="00E85A12">
        <w:rPr>
          <w:rStyle w:val="FootnoteTextChar"/>
          <w:i/>
          <w:sz w:val="20"/>
          <w:szCs w:val="20"/>
        </w:rPr>
        <w:t>i</w:t>
      </w:r>
      <w:proofErr w:type="spellEnd"/>
      <w:r w:rsidRPr="00E85A12">
        <w:rPr>
          <w:rStyle w:val="FootnoteTextChar"/>
          <w:i/>
          <w:sz w:val="20"/>
          <w:szCs w:val="20"/>
        </w:rPr>
        <w:t xml:space="preserve"> </w:t>
      </w:r>
      <w:proofErr w:type="spellStart"/>
      <w:r w:rsidRPr="00E85A12">
        <w:rPr>
          <w:rStyle w:val="FootnoteTextChar"/>
          <w:i/>
          <w:sz w:val="20"/>
          <w:szCs w:val="20"/>
        </w:rPr>
        <w:t>praktiken</w:t>
      </w:r>
      <w:proofErr w:type="spellEnd"/>
      <w:r w:rsidRPr="00E85A12">
        <w:rPr>
          <w:rStyle w:val="FootnoteTextChar"/>
          <w:i/>
          <w:sz w:val="20"/>
          <w:szCs w:val="20"/>
        </w:rPr>
        <w:t>.</w:t>
      </w:r>
      <w:proofErr w:type="gramEnd"/>
      <w:r w:rsidRPr="00E85A12">
        <w:rPr>
          <w:rStyle w:val="FootnoteTextChar"/>
          <w:i/>
          <w:sz w:val="20"/>
          <w:szCs w:val="20"/>
        </w:rPr>
        <w:t xml:space="preserve"> </w:t>
      </w:r>
      <w:proofErr w:type="gramStart"/>
      <w:r w:rsidRPr="00E85A12">
        <w:rPr>
          <w:rStyle w:val="FootnoteTextChar"/>
          <w:i/>
          <w:sz w:val="20"/>
          <w:szCs w:val="20"/>
        </w:rPr>
        <w:t xml:space="preserve">Om den </w:t>
      </w:r>
      <w:proofErr w:type="spellStart"/>
      <w:r w:rsidRPr="00E85A12">
        <w:rPr>
          <w:rStyle w:val="FootnoteTextChar"/>
          <w:i/>
          <w:sz w:val="20"/>
          <w:szCs w:val="20"/>
        </w:rPr>
        <w:t>nationella</w:t>
      </w:r>
      <w:proofErr w:type="spellEnd"/>
      <w:r w:rsidRPr="00E85A12">
        <w:rPr>
          <w:rStyle w:val="FootnoteTextChar"/>
          <w:i/>
          <w:sz w:val="20"/>
          <w:szCs w:val="20"/>
        </w:rPr>
        <w:t xml:space="preserve"> </w:t>
      </w:r>
      <w:proofErr w:type="spellStart"/>
      <w:r w:rsidRPr="00E85A12">
        <w:rPr>
          <w:rStyle w:val="FootnoteTextChar"/>
          <w:i/>
          <w:sz w:val="20"/>
          <w:szCs w:val="20"/>
        </w:rPr>
        <w:t>handlingsplanen</w:t>
      </w:r>
      <w:proofErr w:type="spellEnd"/>
      <w:r w:rsidRPr="00E85A12">
        <w:rPr>
          <w:rStyle w:val="FootnoteTextChar"/>
          <w:sz w:val="20"/>
          <w:szCs w:val="20"/>
        </w:rPr>
        <w:t>.</w:t>
      </w:r>
      <w:proofErr w:type="gramEnd"/>
      <w:r w:rsidRPr="00E85A12">
        <w:rPr>
          <w:rStyle w:val="FootnoteTextChar"/>
          <w:sz w:val="20"/>
          <w:szCs w:val="20"/>
        </w:rPr>
        <w:t xml:space="preserve"> Stockholm: </w:t>
      </w:r>
      <w:proofErr w:type="spellStart"/>
      <w:r w:rsidRPr="00E85A12">
        <w:rPr>
          <w:rStyle w:val="FootnoteTextChar"/>
          <w:sz w:val="20"/>
          <w:szCs w:val="20"/>
        </w:rPr>
        <w:t>Gothia</w:t>
      </w:r>
      <w:proofErr w:type="spellEnd"/>
      <w:r w:rsidRPr="00E85A12">
        <w:rPr>
          <w:rStyle w:val="FootnoteTextChar"/>
          <w:sz w:val="20"/>
          <w:szCs w:val="20"/>
        </w:rPr>
        <w:t>.</w:t>
      </w:r>
    </w:p>
    <w:p w:rsidR="003F5898" w:rsidRPr="00E85A12" w:rsidRDefault="003F5898" w:rsidP="00D36C98">
      <w:pPr>
        <w:spacing w:after="360"/>
        <w:rPr>
          <w:rStyle w:val="FootnoteTextChar"/>
          <w:sz w:val="20"/>
          <w:szCs w:val="20"/>
        </w:rPr>
      </w:pPr>
      <w:r w:rsidRPr="00E85A12">
        <w:rPr>
          <w:rStyle w:val="FootnoteTextChar"/>
          <w:sz w:val="20"/>
          <w:szCs w:val="20"/>
        </w:rPr>
        <w:t xml:space="preserve">Fraser, N. (1997) </w:t>
      </w:r>
      <w:r w:rsidRPr="00E85A12">
        <w:rPr>
          <w:rStyle w:val="FootnoteTextChar"/>
          <w:i/>
          <w:sz w:val="20"/>
          <w:szCs w:val="20"/>
        </w:rPr>
        <w:t xml:space="preserve">Justice </w:t>
      </w:r>
      <w:proofErr w:type="spellStart"/>
      <w:r w:rsidRPr="00E85A12">
        <w:rPr>
          <w:rStyle w:val="FootnoteTextChar"/>
          <w:i/>
          <w:sz w:val="20"/>
          <w:szCs w:val="20"/>
        </w:rPr>
        <w:t>Interruptus</w:t>
      </w:r>
      <w:proofErr w:type="spellEnd"/>
      <w:r w:rsidRPr="00E85A12">
        <w:rPr>
          <w:rStyle w:val="FootnoteTextChar"/>
          <w:i/>
          <w:sz w:val="20"/>
          <w:szCs w:val="20"/>
        </w:rPr>
        <w:t xml:space="preserve">. </w:t>
      </w:r>
      <w:proofErr w:type="gramStart"/>
      <w:r w:rsidRPr="00E85A12">
        <w:rPr>
          <w:rStyle w:val="FootnoteTextChar"/>
          <w:i/>
          <w:sz w:val="20"/>
          <w:szCs w:val="20"/>
        </w:rPr>
        <w:t>Critical Reflections on the “</w:t>
      </w:r>
      <w:proofErr w:type="spellStart"/>
      <w:r w:rsidRPr="00E85A12">
        <w:rPr>
          <w:rStyle w:val="FootnoteTextChar"/>
          <w:i/>
          <w:sz w:val="20"/>
          <w:szCs w:val="20"/>
        </w:rPr>
        <w:t>Postsocialist</w:t>
      </w:r>
      <w:proofErr w:type="spellEnd"/>
      <w:r w:rsidRPr="00E85A12">
        <w:rPr>
          <w:rStyle w:val="FootnoteTextChar"/>
          <w:i/>
          <w:sz w:val="20"/>
          <w:szCs w:val="20"/>
        </w:rPr>
        <w:t>” Condition</w:t>
      </w:r>
      <w:r w:rsidRPr="00E85A12">
        <w:rPr>
          <w:rStyle w:val="FootnoteTextChar"/>
          <w:sz w:val="20"/>
          <w:szCs w:val="20"/>
        </w:rPr>
        <w:t>.</w:t>
      </w:r>
      <w:proofErr w:type="gramEnd"/>
      <w:r w:rsidRPr="00E85A12">
        <w:rPr>
          <w:rStyle w:val="FootnoteTextChar"/>
          <w:sz w:val="20"/>
          <w:szCs w:val="20"/>
        </w:rPr>
        <w:t xml:space="preserve"> </w:t>
      </w:r>
      <w:proofErr w:type="spellStart"/>
      <w:r w:rsidRPr="00E85A12">
        <w:rPr>
          <w:rStyle w:val="FootnoteTextChar"/>
          <w:sz w:val="20"/>
          <w:szCs w:val="20"/>
        </w:rPr>
        <w:t>Routledge</w:t>
      </w:r>
      <w:proofErr w:type="spellEnd"/>
      <w:r w:rsidRPr="00E85A12">
        <w:rPr>
          <w:rStyle w:val="FootnoteTextChar"/>
          <w:sz w:val="20"/>
          <w:szCs w:val="20"/>
        </w:rPr>
        <w:t>: New York.</w:t>
      </w:r>
    </w:p>
    <w:p w:rsidR="00E378A8" w:rsidRPr="004A7E6A" w:rsidRDefault="00E7362A" w:rsidP="00D36C98">
      <w:pPr>
        <w:spacing w:after="360"/>
        <w:rPr>
          <w:rStyle w:val="FootnoteTextChar"/>
          <w:sz w:val="20"/>
          <w:szCs w:val="20"/>
        </w:rPr>
      </w:pPr>
      <w:r w:rsidRPr="004A7E6A">
        <w:rPr>
          <w:rStyle w:val="FootnoteTextChar"/>
          <w:sz w:val="20"/>
          <w:szCs w:val="20"/>
        </w:rPr>
        <w:t xml:space="preserve">Fraser, N. (2000) ‘Rethinking Recognition’. </w:t>
      </w:r>
      <w:r w:rsidRPr="004A7E6A">
        <w:rPr>
          <w:rStyle w:val="FootnoteTextChar"/>
          <w:i/>
          <w:sz w:val="20"/>
          <w:szCs w:val="20"/>
        </w:rPr>
        <w:t>New Left Review</w:t>
      </w:r>
      <w:r w:rsidRPr="004A7E6A">
        <w:rPr>
          <w:rStyle w:val="FootnoteTextChar"/>
          <w:sz w:val="20"/>
          <w:szCs w:val="20"/>
        </w:rPr>
        <w:t xml:space="preserve"> 3, 107–120.</w:t>
      </w:r>
    </w:p>
    <w:p w:rsidR="00E7362A" w:rsidRPr="004A7E6A" w:rsidRDefault="00E378A8" w:rsidP="00D36C98">
      <w:pPr>
        <w:spacing w:after="360"/>
        <w:rPr>
          <w:rStyle w:val="FootnoteTextChar"/>
          <w:sz w:val="20"/>
          <w:szCs w:val="20"/>
        </w:rPr>
      </w:pPr>
      <w:r w:rsidRPr="004A7E6A">
        <w:rPr>
          <w:rStyle w:val="FootnoteTextChar"/>
          <w:sz w:val="20"/>
          <w:szCs w:val="20"/>
        </w:rPr>
        <w:t>Fraser, N. (2001) ‘Recognition without Ethics?</w:t>
      </w:r>
      <w:proofErr w:type="gramStart"/>
      <w:r w:rsidRPr="004A7E6A">
        <w:rPr>
          <w:rStyle w:val="FootnoteTextChar"/>
          <w:sz w:val="20"/>
          <w:szCs w:val="20"/>
        </w:rPr>
        <w:t>’</w:t>
      </w:r>
      <w:r w:rsidR="003C5CB6" w:rsidRPr="004A7E6A">
        <w:rPr>
          <w:rStyle w:val="FootnoteTextChar"/>
          <w:sz w:val="20"/>
          <w:szCs w:val="20"/>
        </w:rPr>
        <w:t>.</w:t>
      </w:r>
      <w:proofErr w:type="gramEnd"/>
      <w:r w:rsidRPr="004A7E6A">
        <w:rPr>
          <w:rStyle w:val="FootnoteTextChar"/>
          <w:sz w:val="20"/>
          <w:szCs w:val="20"/>
        </w:rPr>
        <w:t xml:space="preserve"> </w:t>
      </w:r>
      <w:r w:rsidRPr="004A7E6A">
        <w:rPr>
          <w:rStyle w:val="FootnoteTextChar"/>
          <w:i/>
          <w:sz w:val="20"/>
          <w:szCs w:val="20"/>
        </w:rPr>
        <w:t>Theory</w:t>
      </w:r>
      <w:r w:rsidR="001677BE" w:rsidRPr="004A7E6A">
        <w:rPr>
          <w:rStyle w:val="FootnoteTextChar"/>
          <w:i/>
          <w:sz w:val="20"/>
          <w:szCs w:val="20"/>
        </w:rPr>
        <w:t>,</w:t>
      </w:r>
      <w:r w:rsidRPr="004A7E6A">
        <w:rPr>
          <w:rStyle w:val="FootnoteTextChar"/>
          <w:i/>
          <w:sz w:val="20"/>
          <w:szCs w:val="20"/>
        </w:rPr>
        <w:t xml:space="preserve"> Culture </w:t>
      </w:r>
      <w:r w:rsidR="001677BE" w:rsidRPr="004A7E6A">
        <w:rPr>
          <w:rStyle w:val="FootnoteTextChar"/>
          <w:i/>
          <w:sz w:val="20"/>
          <w:szCs w:val="20"/>
        </w:rPr>
        <w:t xml:space="preserve">&amp; </w:t>
      </w:r>
      <w:r w:rsidRPr="004A7E6A">
        <w:rPr>
          <w:rStyle w:val="FootnoteTextChar"/>
          <w:i/>
          <w:sz w:val="20"/>
          <w:szCs w:val="20"/>
        </w:rPr>
        <w:t>Society</w:t>
      </w:r>
      <w:r w:rsidRPr="004A7E6A">
        <w:rPr>
          <w:rStyle w:val="FootnoteTextChar"/>
          <w:sz w:val="20"/>
          <w:szCs w:val="20"/>
        </w:rPr>
        <w:t xml:space="preserve"> 18, 21–42.</w:t>
      </w:r>
    </w:p>
    <w:p w:rsidR="003C5CB6" w:rsidRPr="004A7E6A" w:rsidRDefault="00987390" w:rsidP="00D36C98">
      <w:pPr>
        <w:spacing w:after="360"/>
        <w:rPr>
          <w:rStyle w:val="FootnoteTextChar"/>
          <w:sz w:val="20"/>
          <w:szCs w:val="20"/>
        </w:rPr>
      </w:pPr>
      <w:r w:rsidRPr="004A7E6A">
        <w:rPr>
          <w:rStyle w:val="FootnoteTextChar"/>
          <w:sz w:val="20"/>
          <w:szCs w:val="20"/>
        </w:rPr>
        <w:t xml:space="preserve">Fraser, N. (2003) ‘Social Justice in the Age of Identity Politics: Redistribution, Recognition and Participation’ in Fraser, N. &amp; </w:t>
      </w:r>
      <w:proofErr w:type="spellStart"/>
      <w:r w:rsidRPr="004A7E6A">
        <w:rPr>
          <w:rStyle w:val="FootnoteTextChar"/>
          <w:sz w:val="20"/>
          <w:szCs w:val="20"/>
        </w:rPr>
        <w:t>Honneth</w:t>
      </w:r>
      <w:proofErr w:type="spellEnd"/>
      <w:r w:rsidRPr="004A7E6A">
        <w:rPr>
          <w:rStyle w:val="FootnoteTextChar"/>
          <w:sz w:val="20"/>
          <w:szCs w:val="20"/>
        </w:rPr>
        <w:t xml:space="preserve">, A. </w:t>
      </w:r>
      <w:r w:rsidR="00093396" w:rsidRPr="004A7E6A">
        <w:rPr>
          <w:rStyle w:val="FootnoteTextChar"/>
          <w:i/>
          <w:sz w:val="20"/>
          <w:szCs w:val="20"/>
        </w:rPr>
        <w:t xml:space="preserve">Redistribution or Recognition? </w:t>
      </w:r>
      <w:proofErr w:type="gramStart"/>
      <w:r w:rsidR="00093396" w:rsidRPr="004A7E6A">
        <w:rPr>
          <w:rStyle w:val="FootnoteTextChar"/>
          <w:i/>
          <w:sz w:val="20"/>
          <w:szCs w:val="20"/>
        </w:rPr>
        <w:t>A Political-Philosophical E</w:t>
      </w:r>
      <w:r w:rsidRPr="004A7E6A">
        <w:rPr>
          <w:rStyle w:val="FootnoteTextChar"/>
          <w:i/>
          <w:sz w:val="20"/>
          <w:szCs w:val="20"/>
        </w:rPr>
        <w:t>xchange</w:t>
      </w:r>
      <w:r w:rsidRPr="004A7E6A">
        <w:rPr>
          <w:rStyle w:val="FootnoteTextChar"/>
          <w:sz w:val="20"/>
          <w:szCs w:val="20"/>
        </w:rPr>
        <w:t>.</w:t>
      </w:r>
      <w:proofErr w:type="gramEnd"/>
      <w:r w:rsidRPr="004A7E6A">
        <w:rPr>
          <w:rStyle w:val="FootnoteTextChar"/>
          <w:sz w:val="20"/>
          <w:szCs w:val="20"/>
        </w:rPr>
        <w:t xml:space="preserve"> London: Verso.</w:t>
      </w:r>
    </w:p>
    <w:p w:rsidR="004E5F5A" w:rsidRPr="004A7E6A" w:rsidRDefault="003C5CB6" w:rsidP="00D36C98">
      <w:pPr>
        <w:spacing w:after="360"/>
        <w:rPr>
          <w:rStyle w:val="FootnoteTextChar"/>
          <w:sz w:val="20"/>
          <w:szCs w:val="20"/>
        </w:rPr>
      </w:pPr>
      <w:r w:rsidRPr="004A7E6A">
        <w:rPr>
          <w:rStyle w:val="FootnoteTextChar"/>
          <w:sz w:val="20"/>
          <w:szCs w:val="20"/>
        </w:rPr>
        <w:t>Fraser, N. (2005) ‘Reframing Justice in a Globalizing World’.</w:t>
      </w:r>
      <w:r w:rsidRPr="004A7E6A">
        <w:rPr>
          <w:rStyle w:val="FootnoteTextChar"/>
          <w:i/>
          <w:sz w:val="20"/>
          <w:szCs w:val="20"/>
        </w:rPr>
        <w:t xml:space="preserve"> New Left Review</w:t>
      </w:r>
      <w:r w:rsidRPr="004A7E6A">
        <w:rPr>
          <w:rStyle w:val="FootnoteTextChar"/>
          <w:sz w:val="20"/>
          <w:szCs w:val="20"/>
        </w:rPr>
        <w:t xml:space="preserve"> 36, 69–88.</w:t>
      </w:r>
    </w:p>
    <w:p w:rsidR="00BF790E" w:rsidRPr="004A7E6A" w:rsidRDefault="00BF790E" w:rsidP="00D36C98">
      <w:pPr>
        <w:spacing w:after="360"/>
        <w:rPr>
          <w:rStyle w:val="FootnoteTextChar"/>
          <w:sz w:val="20"/>
          <w:szCs w:val="20"/>
          <w:lang w:val="sv-SE"/>
        </w:rPr>
      </w:pPr>
      <w:r w:rsidRPr="004A7E6A">
        <w:rPr>
          <w:rStyle w:val="FootnoteTextChar"/>
          <w:sz w:val="20"/>
          <w:szCs w:val="20"/>
        </w:rPr>
        <w:t xml:space="preserve">Fraser, N. (2008) ‘Prioritizing Justice as Participatory Parity: A Reply to </w:t>
      </w:r>
      <w:proofErr w:type="spellStart"/>
      <w:r w:rsidRPr="004A7E6A">
        <w:rPr>
          <w:rStyle w:val="FootnoteTextChar"/>
          <w:sz w:val="20"/>
          <w:szCs w:val="20"/>
        </w:rPr>
        <w:t>Komprids</w:t>
      </w:r>
      <w:proofErr w:type="spellEnd"/>
      <w:r w:rsidRPr="004A7E6A">
        <w:rPr>
          <w:rStyle w:val="FootnoteTextChar"/>
          <w:sz w:val="20"/>
          <w:szCs w:val="20"/>
        </w:rPr>
        <w:t xml:space="preserve"> and </w:t>
      </w:r>
      <w:proofErr w:type="spellStart"/>
      <w:r w:rsidRPr="004A7E6A">
        <w:rPr>
          <w:rStyle w:val="FootnoteTextChar"/>
          <w:sz w:val="20"/>
          <w:szCs w:val="20"/>
        </w:rPr>
        <w:t>Forst</w:t>
      </w:r>
      <w:proofErr w:type="spellEnd"/>
      <w:r w:rsidRPr="004A7E6A">
        <w:rPr>
          <w:rStyle w:val="FootnoteTextChar"/>
          <w:sz w:val="20"/>
          <w:szCs w:val="20"/>
        </w:rPr>
        <w:t xml:space="preserve">’ in Olson, K. (ed.) </w:t>
      </w:r>
      <w:r w:rsidRPr="004A7E6A">
        <w:rPr>
          <w:rStyle w:val="FootnoteTextChar"/>
          <w:i/>
          <w:sz w:val="20"/>
          <w:szCs w:val="20"/>
        </w:rPr>
        <w:t>Adding Insult to Injury – Nancy Fraser Debates Her Critics</w:t>
      </w:r>
      <w:r w:rsidRPr="004A7E6A">
        <w:rPr>
          <w:rStyle w:val="FootnoteTextChar"/>
          <w:sz w:val="20"/>
          <w:szCs w:val="20"/>
        </w:rPr>
        <w:t xml:space="preserve">. </w:t>
      </w:r>
      <w:r w:rsidRPr="004A7E6A">
        <w:rPr>
          <w:rStyle w:val="FootnoteTextChar"/>
          <w:sz w:val="20"/>
          <w:szCs w:val="20"/>
          <w:lang w:val="sv-SE"/>
        </w:rPr>
        <w:t>London: Verso.</w:t>
      </w:r>
    </w:p>
    <w:p w:rsidR="003F4878" w:rsidRPr="004A7E6A" w:rsidRDefault="003F4878" w:rsidP="00D36C98">
      <w:pPr>
        <w:spacing w:after="360"/>
        <w:rPr>
          <w:rStyle w:val="FootnoteTextChar"/>
          <w:sz w:val="20"/>
          <w:szCs w:val="20"/>
        </w:rPr>
      </w:pPr>
      <w:r w:rsidRPr="004A7E6A">
        <w:rPr>
          <w:rStyle w:val="FootnoteTextChar"/>
          <w:sz w:val="20"/>
          <w:szCs w:val="20"/>
          <w:lang w:val="sv-SE"/>
        </w:rPr>
        <w:t xml:space="preserve">Gunnarsson, Å. (2003) </w:t>
      </w:r>
      <w:r w:rsidRPr="004A7E6A">
        <w:rPr>
          <w:rStyle w:val="FootnoteTextChar"/>
          <w:i/>
          <w:sz w:val="20"/>
          <w:szCs w:val="20"/>
          <w:lang w:val="sv-SE"/>
        </w:rPr>
        <w:t>Fördelningen av familjens skatter och sociala förmåner</w:t>
      </w:r>
      <w:r w:rsidRPr="004A7E6A">
        <w:rPr>
          <w:rStyle w:val="FootnoteTextChar"/>
          <w:sz w:val="20"/>
          <w:szCs w:val="20"/>
          <w:lang w:val="sv-SE"/>
        </w:rPr>
        <w:t xml:space="preserve">. </w:t>
      </w:r>
      <w:r w:rsidRPr="004A7E6A">
        <w:rPr>
          <w:sz w:val="20"/>
          <w:szCs w:val="20"/>
        </w:rPr>
        <w:t xml:space="preserve">Uppsala: </w:t>
      </w:r>
      <w:proofErr w:type="spellStart"/>
      <w:r w:rsidRPr="004A7E6A">
        <w:rPr>
          <w:sz w:val="20"/>
          <w:szCs w:val="20"/>
        </w:rPr>
        <w:t>Iustus</w:t>
      </w:r>
      <w:proofErr w:type="spellEnd"/>
      <w:r w:rsidRPr="004A7E6A">
        <w:rPr>
          <w:sz w:val="20"/>
          <w:szCs w:val="20"/>
        </w:rPr>
        <w:t xml:space="preserve"> </w:t>
      </w:r>
      <w:proofErr w:type="spellStart"/>
      <w:r w:rsidRPr="004A7E6A">
        <w:rPr>
          <w:sz w:val="20"/>
          <w:szCs w:val="20"/>
        </w:rPr>
        <w:t>Förlag</w:t>
      </w:r>
      <w:proofErr w:type="spellEnd"/>
      <w:r w:rsidRPr="004A7E6A">
        <w:rPr>
          <w:sz w:val="20"/>
          <w:szCs w:val="20"/>
        </w:rPr>
        <w:t>.</w:t>
      </w:r>
    </w:p>
    <w:p w:rsidR="00AE6714" w:rsidRPr="004A7E6A" w:rsidRDefault="0073387F" w:rsidP="00D36C98">
      <w:pPr>
        <w:spacing w:after="360"/>
        <w:rPr>
          <w:rStyle w:val="FootnoteTextChar"/>
          <w:sz w:val="20"/>
          <w:szCs w:val="20"/>
        </w:rPr>
      </w:pPr>
      <w:r w:rsidRPr="004A7E6A">
        <w:rPr>
          <w:rStyle w:val="FootnoteTextChar"/>
          <w:sz w:val="20"/>
          <w:szCs w:val="20"/>
        </w:rPr>
        <w:t xml:space="preserve">Gunnarsson, Å. (2007) ‘Gender Equality and the Diversity of Rights and Obligations in Swedish Social Citizenship’ in Gunnarsson, </w:t>
      </w:r>
      <w:proofErr w:type="gramStart"/>
      <w:r w:rsidRPr="004A7E6A">
        <w:rPr>
          <w:rStyle w:val="FootnoteTextChar"/>
          <w:sz w:val="20"/>
          <w:szCs w:val="20"/>
        </w:rPr>
        <w:t>Å.,</w:t>
      </w:r>
      <w:proofErr w:type="gramEnd"/>
      <w:r w:rsidRPr="004A7E6A">
        <w:rPr>
          <w:rStyle w:val="FootnoteTextChar"/>
          <w:sz w:val="20"/>
          <w:szCs w:val="20"/>
        </w:rPr>
        <w:t xml:space="preserve"> Svensson, E-M. &amp; Davies, M. (eds.) </w:t>
      </w:r>
      <w:r w:rsidRPr="004A7E6A">
        <w:rPr>
          <w:rStyle w:val="FootnoteTextChar"/>
          <w:i/>
          <w:sz w:val="20"/>
          <w:szCs w:val="20"/>
        </w:rPr>
        <w:t xml:space="preserve">Exploiting the Limits of Law. </w:t>
      </w:r>
      <w:proofErr w:type="gramStart"/>
      <w:r w:rsidRPr="004A7E6A">
        <w:rPr>
          <w:rStyle w:val="FootnoteTextChar"/>
          <w:i/>
          <w:sz w:val="20"/>
          <w:szCs w:val="20"/>
        </w:rPr>
        <w:t>Swedish Feminism and the Challenge to Pessimism</w:t>
      </w:r>
      <w:r w:rsidRPr="004A7E6A">
        <w:rPr>
          <w:rStyle w:val="FootnoteTextChar"/>
          <w:sz w:val="20"/>
          <w:szCs w:val="20"/>
        </w:rPr>
        <w:t>.</w:t>
      </w:r>
      <w:proofErr w:type="gramEnd"/>
      <w:r w:rsidRPr="004A7E6A">
        <w:rPr>
          <w:rStyle w:val="FootnoteTextChar"/>
          <w:sz w:val="20"/>
          <w:szCs w:val="20"/>
        </w:rPr>
        <w:t xml:space="preserve"> </w:t>
      </w:r>
      <w:proofErr w:type="spellStart"/>
      <w:r w:rsidRPr="004A7E6A">
        <w:rPr>
          <w:rStyle w:val="FootnoteTextChar"/>
          <w:sz w:val="20"/>
          <w:szCs w:val="20"/>
        </w:rPr>
        <w:t>Aldershot</w:t>
      </w:r>
      <w:proofErr w:type="spellEnd"/>
      <w:r w:rsidRPr="004A7E6A">
        <w:rPr>
          <w:rStyle w:val="FootnoteTextChar"/>
          <w:sz w:val="20"/>
          <w:szCs w:val="20"/>
        </w:rPr>
        <w:t>:</w:t>
      </w:r>
      <w:r w:rsidR="00A1759F" w:rsidRPr="004A7E6A">
        <w:rPr>
          <w:rStyle w:val="FootnoteTextChar"/>
          <w:sz w:val="20"/>
          <w:szCs w:val="20"/>
        </w:rPr>
        <w:t xml:space="preserve"> </w:t>
      </w:r>
      <w:proofErr w:type="spellStart"/>
      <w:r w:rsidR="00A1759F" w:rsidRPr="004A7E6A">
        <w:rPr>
          <w:rStyle w:val="FootnoteTextChar"/>
          <w:sz w:val="20"/>
          <w:szCs w:val="20"/>
        </w:rPr>
        <w:t>Ashgate</w:t>
      </w:r>
      <w:proofErr w:type="spellEnd"/>
      <w:r w:rsidR="00A1759F" w:rsidRPr="004A7E6A">
        <w:rPr>
          <w:rStyle w:val="FootnoteTextChar"/>
          <w:sz w:val="20"/>
          <w:szCs w:val="20"/>
        </w:rPr>
        <w:t>.</w:t>
      </w:r>
    </w:p>
    <w:p w:rsidR="007B050D" w:rsidRPr="004A7E6A" w:rsidRDefault="004E5F5A" w:rsidP="00D36C98">
      <w:pPr>
        <w:spacing w:after="360"/>
        <w:rPr>
          <w:rStyle w:val="FootnoteTextChar"/>
          <w:sz w:val="20"/>
          <w:szCs w:val="20"/>
        </w:rPr>
      </w:pPr>
      <w:r w:rsidRPr="004A7E6A">
        <w:rPr>
          <w:rStyle w:val="FootnoteTextChar"/>
          <w:sz w:val="20"/>
          <w:szCs w:val="20"/>
        </w:rPr>
        <w:lastRenderedPageBreak/>
        <w:t>Gu</w:t>
      </w:r>
      <w:r w:rsidR="004E0AAC" w:rsidRPr="004A7E6A">
        <w:rPr>
          <w:rStyle w:val="FootnoteTextChar"/>
          <w:sz w:val="20"/>
          <w:szCs w:val="20"/>
        </w:rPr>
        <w:t xml:space="preserve">nnarsson, </w:t>
      </w:r>
      <w:proofErr w:type="gramStart"/>
      <w:r w:rsidR="004E0AAC" w:rsidRPr="004A7E6A">
        <w:rPr>
          <w:rStyle w:val="FootnoteTextChar"/>
          <w:sz w:val="20"/>
          <w:szCs w:val="20"/>
        </w:rPr>
        <w:t>Å.,</w:t>
      </w:r>
      <w:proofErr w:type="gramEnd"/>
      <w:r w:rsidR="004E0AAC" w:rsidRPr="004A7E6A">
        <w:rPr>
          <w:rStyle w:val="FootnoteTextChar"/>
          <w:sz w:val="20"/>
          <w:szCs w:val="20"/>
        </w:rPr>
        <w:t xml:space="preserve"> Svensson, E-M. &amp;</w:t>
      </w:r>
      <w:r w:rsidRPr="004A7E6A">
        <w:rPr>
          <w:rStyle w:val="FootnoteTextChar"/>
          <w:sz w:val="20"/>
          <w:szCs w:val="20"/>
        </w:rPr>
        <w:t xml:space="preserve"> Davies, M. (2007) ‘Reflecting the Epistemology of Law – Exploiting Boundaries’ in Gu</w:t>
      </w:r>
      <w:r w:rsidR="004E0AAC" w:rsidRPr="004A7E6A">
        <w:rPr>
          <w:rStyle w:val="FootnoteTextChar"/>
          <w:sz w:val="20"/>
          <w:szCs w:val="20"/>
        </w:rPr>
        <w:t xml:space="preserve">nnarsson, </w:t>
      </w:r>
      <w:proofErr w:type="gramStart"/>
      <w:r w:rsidR="004E0AAC" w:rsidRPr="004A7E6A">
        <w:rPr>
          <w:rStyle w:val="FootnoteTextChar"/>
          <w:sz w:val="20"/>
          <w:szCs w:val="20"/>
        </w:rPr>
        <w:t>Å.,</w:t>
      </w:r>
      <w:proofErr w:type="gramEnd"/>
      <w:r w:rsidR="004E0AAC" w:rsidRPr="004A7E6A">
        <w:rPr>
          <w:rStyle w:val="FootnoteTextChar"/>
          <w:sz w:val="20"/>
          <w:szCs w:val="20"/>
        </w:rPr>
        <w:t xml:space="preserve"> Svensson, E-M. &amp;</w:t>
      </w:r>
      <w:r w:rsidRPr="004A7E6A">
        <w:rPr>
          <w:rStyle w:val="FootnoteTextChar"/>
          <w:sz w:val="20"/>
          <w:szCs w:val="20"/>
        </w:rPr>
        <w:t xml:space="preserve"> Davies, M. (eds</w:t>
      </w:r>
      <w:r w:rsidR="004E0AAC" w:rsidRPr="004A7E6A">
        <w:rPr>
          <w:rStyle w:val="FootnoteTextChar"/>
          <w:sz w:val="20"/>
          <w:szCs w:val="20"/>
        </w:rPr>
        <w:t>.</w:t>
      </w:r>
      <w:r w:rsidRPr="004A7E6A">
        <w:rPr>
          <w:rStyle w:val="FootnoteTextChar"/>
          <w:sz w:val="20"/>
          <w:szCs w:val="20"/>
        </w:rPr>
        <w:t xml:space="preserve">) </w:t>
      </w:r>
      <w:r w:rsidRPr="004A7E6A">
        <w:rPr>
          <w:rStyle w:val="FootnoteTextChar"/>
          <w:i/>
          <w:sz w:val="20"/>
          <w:szCs w:val="20"/>
        </w:rPr>
        <w:t xml:space="preserve">Exploiting the Limits of Law. </w:t>
      </w:r>
      <w:proofErr w:type="gramStart"/>
      <w:r w:rsidRPr="004A7E6A">
        <w:rPr>
          <w:rStyle w:val="FootnoteTextChar"/>
          <w:i/>
          <w:sz w:val="20"/>
          <w:szCs w:val="20"/>
        </w:rPr>
        <w:t>Swedish Feminism and the Challenge to Pessimism</w:t>
      </w:r>
      <w:r w:rsidRPr="004A7E6A">
        <w:rPr>
          <w:rStyle w:val="FootnoteTextChar"/>
          <w:sz w:val="20"/>
          <w:szCs w:val="20"/>
        </w:rPr>
        <w:t>.</w:t>
      </w:r>
      <w:proofErr w:type="gramEnd"/>
      <w:r w:rsidRPr="004A7E6A">
        <w:rPr>
          <w:rStyle w:val="FootnoteTextChar"/>
          <w:sz w:val="20"/>
          <w:szCs w:val="20"/>
        </w:rPr>
        <w:t xml:space="preserve"> </w:t>
      </w:r>
      <w:proofErr w:type="spellStart"/>
      <w:r w:rsidRPr="004A7E6A">
        <w:rPr>
          <w:rStyle w:val="FootnoteTextChar"/>
          <w:sz w:val="20"/>
          <w:szCs w:val="20"/>
        </w:rPr>
        <w:t>Aldershot</w:t>
      </w:r>
      <w:proofErr w:type="spellEnd"/>
      <w:r w:rsidRPr="004A7E6A">
        <w:rPr>
          <w:rStyle w:val="FootnoteTextChar"/>
          <w:sz w:val="20"/>
          <w:szCs w:val="20"/>
        </w:rPr>
        <w:t xml:space="preserve">: </w:t>
      </w:r>
      <w:proofErr w:type="spellStart"/>
      <w:r w:rsidRPr="004A7E6A">
        <w:rPr>
          <w:rStyle w:val="FootnoteTextChar"/>
          <w:sz w:val="20"/>
          <w:szCs w:val="20"/>
        </w:rPr>
        <w:t>Ashgate</w:t>
      </w:r>
      <w:proofErr w:type="spellEnd"/>
      <w:r w:rsidRPr="004A7E6A">
        <w:rPr>
          <w:rStyle w:val="FootnoteTextChar"/>
          <w:sz w:val="20"/>
          <w:szCs w:val="20"/>
        </w:rPr>
        <w:t>.</w:t>
      </w:r>
    </w:p>
    <w:p w:rsidR="0098084F" w:rsidRPr="004A7E6A" w:rsidRDefault="007B050D" w:rsidP="00D36C98">
      <w:pPr>
        <w:spacing w:after="360"/>
        <w:rPr>
          <w:rStyle w:val="FootnoteTextChar"/>
          <w:sz w:val="20"/>
          <w:szCs w:val="20"/>
          <w:lang w:val="sv-SE"/>
        </w:rPr>
      </w:pPr>
      <w:proofErr w:type="gramStart"/>
      <w:r w:rsidRPr="004A7E6A">
        <w:rPr>
          <w:sz w:val="20"/>
          <w:szCs w:val="20"/>
        </w:rPr>
        <w:t>Gunnarsson, Å. &amp; Svensson, E-M.</w:t>
      </w:r>
      <w:proofErr w:type="gramEnd"/>
      <w:r w:rsidRPr="004A7E6A">
        <w:rPr>
          <w:sz w:val="20"/>
          <w:szCs w:val="20"/>
        </w:rPr>
        <w:t xml:space="preserve"> </w:t>
      </w:r>
      <w:r w:rsidRPr="004A7E6A">
        <w:rPr>
          <w:sz w:val="20"/>
          <w:szCs w:val="20"/>
          <w:lang w:val="sv-SE"/>
        </w:rPr>
        <w:t xml:space="preserve">(2009) </w:t>
      </w:r>
      <w:r w:rsidRPr="004A7E6A">
        <w:rPr>
          <w:i/>
          <w:sz w:val="20"/>
          <w:szCs w:val="20"/>
          <w:lang w:val="sv-SE"/>
        </w:rPr>
        <w:t>Genusrättsvetenskap</w:t>
      </w:r>
      <w:r w:rsidRPr="004A7E6A">
        <w:rPr>
          <w:sz w:val="20"/>
          <w:szCs w:val="20"/>
          <w:lang w:val="sv-SE"/>
        </w:rPr>
        <w:t xml:space="preserve">. </w:t>
      </w:r>
      <w:r w:rsidRPr="004A7E6A">
        <w:rPr>
          <w:rStyle w:val="FootnoteTextChar"/>
          <w:sz w:val="20"/>
          <w:szCs w:val="20"/>
          <w:lang w:val="sv-SE"/>
        </w:rPr>
        <w:t>Lund: Studentlitteratur.</w:t>
      </w:r>
    </w:p>
    <w:p w:rsidR="0026324E" w:rsidRPr="004A7E6A" w:rsidRDefault="0098084F" w:rsidP="00D36C98">
      <w:pPr>
        <w:spacing w:after="360"/>
        <w:rPr>
          <w:rStyle w:val="FootnoteTextChar"/>
          <w:sz w:val="20"/>
          <w:szCs w:val="20"/>
          <w:lang w:val="sv-SE"/>
        </w:rPr>
      </w:pPr>
      <w:r w:rsidRPr="004A7E6A">
        <w:rPr>
          <w:rStyle w:val="FootnoteTextChar"/>
          <w:sz w:val="20"/>
          <w:szCs w:val="20"/>
          <w:lang w:val="sv-SE"/>
        </w:rPr>
        <w:t>Gustavsson, A. (2004) ‘Inledning</w:t>
      </w:r>
      <w:r w:rsidR="0072767E">
        <w:rPr>
          <w:rStyle w:val="FootnoteTextChar"/>
          <w:sz w:val="20"/>
          <w:szCs w:val="20"/>
          <w:lang w:val="sv-SE"/>
        </w:rPr>
        <w:t>’ in Gustavsson, A. (ed.)</w:t>
      </w:r>
      <w:r w:rsidRPr="004A7E6A">
        <w:rPr>
          <w:rStyle w:val="FootnoteTextChar"/>
          <w:sz w:val="20"/>
          <w:szCs w:val="20"/>
          <w:lang w:val="sv-SE"/>
        </w:rPr>
        <w:t xml:space="preserve"> </w:t>
      </w:r>
      <w:r w:rsidRPr="004A7E6A">
        <w:rPr>
          <w:rStyle w:val="FootnoteTextChar"/>
          <w:i/>
          <w:sz w:val="20"/>
          <w:szCs w:val="20"/>
          <w:lang w:val="sv-SE"/>
        </w:rPr>
        <w:t>Delaktighetens språk</w:t>
      </w:r>
      <w:r w:rsidRPr="004A7E6A">
        <w:rPr>
          <w:rStyle w:val="FootnoteTextChar"/>
          <w:sz w:val="20"/>
          <w:szCs w:val="20"/>
          <w:lang w:val="sv-SE"/>
        </w:rPr>
        <w:t>. Lund: Studentlitteratur.</w:t>
      </w:r>
    </w:p>
    <w:p w:rsidR="00ED6051" w:rsidRPr="004A7E6A" w:rsidRDefault="00ED6051" w:rsidP="00D36C98">
      <w:pPr>
        <w:spacing w:after="360"/>
        <w:rPr>
          <w:rStyle w:val="FootnoteTextChar"/>
          <w:sz w:val="20"/>
          <w:szCs w:val="20"/>
        </w:rPr>
      </w:pPr>
      <w:r w:rsidRPr="004A7E6A">
        <w:rPr>
          <w:rStyle w:val="FootnoteTextChar"/>
          <w:sz w:val="20"/>
          <w:szCs w:val="20"/>
          <w:lang w:val="sv-SE"/>
        </w:rPr>
        <w:t>Helmius, G</w:t>
      </w:r>
      <w:r w:rsidR="003C0475" w:rsidRPr="004A7E6A">
        <w:rPr>
          <w:rStyle w:val="FootnoteTextChar"/>
          <w:sz w:val="20"/>
          <w:szCs w:val="20"/>
          <w:lang w:val="sv-SE"/>
        </w:rPr>
        <w:t>.</w:t>
      </w:r>
      <w:r w:rsidRPr="004A7E6A">
        <w:rPr>
          <w:rStyle w:val="FootnoteTextChar"/>
          <w:sz w:val="20"/>
          <w:szCs w:val="20"/>
          <w:lang w:val="sv-SE"/>
        </w:rPr>
        <w:t xml:space="preserve"> (2004</w:t>
      </w:r>
      <w:r w:rsidR="00427021" w:rsidRPr="004A7E6A">
        <w:rPr>
          <w:rStyle w:val="FootnoteTextChar"/>
          <w:sz w:val="20"/>
          <w:szCs w:val="20"/>
          <w:lang w:val="sv-SE"/>
        </w:rPr>
        <w:t>a</w:t>
      </w:r>
      <w:r w:rsidR="0026324E" w:rsidRPr="004A7E6A">
        <w:rPr>
          <w:rStyle w:val="FootnoteTextChar"/>
          <w:sz w:val="20"/>
          <w:szCs w:val="20"/>
          <w:lang w:val="sv-SE"/>
        </w:rPr>
        <w:t>) ‘Sexualiteten som individuellt och socialt fenomen’ in Barron, K</w:t>
      </w:r>
      <w:r w:rsidR="003C0475" w:rsidRPr="004A7E6A">
        <w:rPr>
          <w:rStyle w:val="FootnoteTextChar"/>
          <w:sz w:val="20"/>
          <w:szCs w:val="20"/>
          <w:lang w:val="sv-SE"/>
        </w:rPr>
        <w:t>.</w:t>
      </w:r>
      <w:r w:rsidR="0026324E" w:rsidRPr="004A7E6A">
        <w:rPr>
          <w:rStyle w:val="FootnoteTextChar"/>
          <w:sz w:val="20"/>
          <w:szCs w:val="20"/>
          <w:lang w:val="sv-SE"/>
        </w:rPr>
        <w:t xml:space="preserve"> (ed.) </w:t>
      </w:r>
      <w:proofErr w:type="gramStart"/>
      <w:r w:rsidR="0026324E" w:rsidRPr="004A7E6A">
        <w:rPr>
          <w:rStyle w:val="FootnoteTextChar"/>
          <w:i/>
          <w:sz w:val="20"/>
          <w:szCs w:val="20"/>
        </w:rPr>
        <w:t xml:space="preserve">Genus </w:t>
      </w:r>
      <w:proofErr w:type="spellStart"/>
      <w:r w:rsidR="0026324E" w:rsidRPr="004A7E6A">
        <w:rPr>
          <w:rStyle w:val="FootnoteTextChar"/>
          <w:i/>
          <w:sz w:val="20"/>
          <w:szCs w:val="20"/>
        </w:rPr>
        <w:t>och</w:t>
      </w:r>
      <w:proofErr w:type="spellEnd"/>
      <w:r w:rsidR="0026324E" w:rsidRPr="004A7E6A">
        <w:rPr>
          <w:rStyle w:val="FootnoteTextChar"/>
          <w:i/>
          <w:sz w:val="20"/>
          <w:szCs w:val="20"/>
        </w:rPr>
        <w:t xml:space="preserve"> </w:t>
      </w:r>
      <w:proofErr w:type="spellStart"/>
      <w:r w:rsidR="0026324E" w:rsidRPr="004A7E6A">
        <w:rPr>
          <w:rStyle w:val="FootnoteTextChar"/>
          <w:i/>
          <w:sz w:val="20"/>
          <w:szCs w:val="20"/>
        </w:rPr>
        <w:t>funktionshinder</w:t>
      </w:r>
      <w:proofErr w:type="spellEnd"/>
      <w:r w:rsidR="0026324E" w:rsidRPr="004A7E6A">
        <w:rPr>
          <w:rStyle w:val="FootnoteTextChar"/>
          <w:sz w:val="20"/>
          <w:szCs w:val="20"/>
        </w:rPr>
        <w:t>.</w:t>
      </w:r>
      <w:proofErr w:type="gramEnd"/>
      <w:r w:rsidR="0026324E" w:rsidRPr="004A7E6A">
        <w:rPr>
          <w:rStyle w:val="FootnoteTextChar"/>
          <w:sz w:val="20"/>
          <w:szCs w:val="20"/>
        </w:rPr>
        <w:t xml:space="preserve"> Lund: </w:t>
      </w:r>
      <w:proofErr w:type="spellStart"/>
      <w:r w:rsidR="0026324E" w:rsidRPr="004A7E6A">
        <w:rPr>
          <w:rStyle w:val="FootnoteTextChar"/>
          <w:sz w:val="20"/>
          <w:szCs w:val="20"/>
        </w:rPr>
        <w:t>Studen</w:t>
      </w:r>
      <w:r w:rsidR="00427021" w:rsidRPr="004A7E6A">
        <w:rPr>
          <w:rStyle w:val="FootnoteTextChar"/>
          <w:sz w:val="20"/>
          <w:szCs w:val="20"/>
        </w:rPr>
        <w:t>tlitteratur</w:t>
      </w:r>
      <w:proofErr w:type="spellEnd"/>
      <w:r w:rsidR="00427021" w:rsidRPr="004A7E6A">
        <w:rPr>
          <w:rStyle w:val="FootnoteTextChar"/>
          <w:sz w:val="20"/>
          <w:szCs w:val="20"/>
        </w:rPr>
        <w:t>.</w:t>
      </w:r>
    </w:p>
    <w:p w:rsidR="00685F76" w:rsidRPr="004A7E6A" w:rsidRDefault="00ED6051" w:rsidP="00D36C98">
      <w:pPr>
        <w:spacing w:after="360"/>
        <w:rPr>
          <w:rStyle w:val="FootnoteTextChar"/>
          <w:sz w:val="20"/>
          <w:szCs w:val="20"/>
        </w:rPr>
      </w:pPr>
      <w:proofErr w:type="spellStart"/>
      <w:r w:rsidRPr="004A7E6A">
        <w:rPr>
          <w:rStyle w:val="FootnoteTextChar"/>
          <w:sz w:val="20"/>
          <w:szCs w:val="20"/>
        </w:rPr>
        <w:t>Helmius</w:t>
      </w:r>
      <w:proofErr w:type="spellEnd"/>
      <w:r w:rsidRPr="004A7E6A">
        <w:rPr>
          <w:rStyle w:val="FootnoteTextChar"/>
          <w:sz w:val="20"/>
          <w:szCs w:val="20"/>
        </w:rPr>
        <w:t>, G</w:t>
      </w:r>
      <w:r w:rsidR="003C0475" w:rsidRPr="004A7E6A">
        <w:rPr>
          <w:rStyle w:val="FootnoteTextChar"/>
          <w:sz w:val="20"/>
          <w:szCs w:val="20"/>
        </w:rPr>
        <w:t>.</w:t>
      </w:r>
      <w:r w:rsidRPr="004A7E6A">
        <w:rPr>
          <w:rStyle w:val="FootnoteTextChar"/>
          <w:sz w:val="20"/>
          <w:szCs w:val="20"/>
        </w:rPr>
        <w:t xml:space="preserve"> (2004</w:t>
      </w:r>
      <w:r w:rsidR="00427021" w:rsidRPr="004A7E6A">
        <w:rPr>
          <w:rStyle w:val="FootnoteTextChar"/>
          <w:sz w:val="20"/>
          <w:szCs w:val="20"/>
        </w:rPr>
        <w:t>b</w:t>
      </w:r>
      <w:r w:rsidR="0072767E">
        <w:rPr>
          <w:rStyle w:val="FootnoteTextChar"/>
          <w:sz w:val="20"/>
          <w:szCs w:val="20"/>
        </w:rPr>
        <w:t>) ‘Three Generations: Looking at Physically Disabled Women’s L</w:t>
      </w:r>
      <w:r w:rsidRPr="004A7E6A">
        <w:rPr>
          <w:rStyle w:val="FootnoteTextChar"/>
          <w:sz w:val="20"/>
          <w:szCs w:val="20"/>
        </w:rPr>
        <w:t>ives</w:t>
      </w:r>
      <w:r w:rsidR="003C0475" w:rsidRPr="004A7E6A">
        <w:rPr>
          <w:rStyle w:val="FootnoteTextChar"/>
          <w:sz w:val="20"/>
          <w:szCs w:val="20"/>
        </w:rPr>
        <w:t>’ in Kristiansen</w:t>
      </w:r>
      <w:r w:rsidRPr="004A7E6A">
        <w:rPr>
          <w:rStyle w:val="FootnoteTextChar"/>
          <w:sz w:val="20"/>
          <w:szCs w:val="20"/>
        </w:rPr>
        <w:t>, K</w:t>
      </w:r>
      <w:r w:rsidR="003C0475" w:rsidRPr="004A7E6A">
        <w:rPr>
          <w:rStyle w:val="FootnoteTextChar"/>
          <w:sz w:val="20"/>
          <w:szCs w:val="20"/>
        </w:rPr>
        <w:t>.</w:t>
      </w:r>
      <w:r w:rsidRPr="004A7E6A">
        <w:rPr>
          <w:rStyle w:val="FootnoteTextChar"/>
          <w:sz w:val="20"/>
          <w:szCs w:val="20"/>
        </w:rPr>
        <w:t xml:space="preserve"> </w:t>
      </w:r>
      <w:r w:rsidR="003C0475" w:rsidRPr="004A7E6A">
        <w:rPr>
          <w:rStyle w:val="FootnoteTextChar"/>
          <w:sz w:val="20"/>
          <w:szCs w:val="20"/>
        </w:rPr>
        <w:t xml:space="preserve">&amp; </w:t>
      </w:r>
      <w:proofErr w:type="spellStart"/>
      <w:r w:rsidR="003C0475" w:rsidRPr="004A7E6A">
        <w:rPr>
          <w:rStyle w:val="FootnoteTextChar"/>
          <w:sz w:val="20"/>
          <w:szCs w:val="20"/>
        </w:rPr>
        <w:t>Traustadóttir</w:t>
      </w:r>
      <w:proofErr w:type="spellEnd"/>
      <w:r w:rsidR="003C0475" w:rsidRPr="004A7E6A">
        <w:rPr>
          <w:rStyle w:val="FootnoteTextChar"/>
          <w:sz w:val="20"/>
          <w:szCs w:val="20"/>
        </w:rPr>
        <w:t xml:space="preserve">, R. </w:t>
      </w:r>
      <w:r w:rsidRPr="004A7E6A">
        <w:rPr>
          <w:rStyle w:val="FootnoteTextChar"/>
          <w:sz w:val="20"/>
          <w:szCs w:val="20"/>
        </w:rPr>
        <w:t>(ed</w:t>
      </w:r>
      <w:r w:rsidR="003C0475" w:rsidRPr="004A7E6A">
        <w:rPr>
          <w:rStyle w:val="FootnoteTextChar"/>
          <w:sz w:val="20"/>
          <w:szCs w:val="20"/>
        </w:rPr>
        <w:t>s</w:t>
      </w:r>
      <w:r w:rsidRPr="004A7E6A">
        <w:rPr>
          <w:rStyle w:val="FootnoteTextChar"/>
          <w:sz w:val="20"/>
          <w:szCs w:val="20"/>
        </w:rPr>
        <w:t xml:space="preserve">.) </w:t>
      </w:r>
      <w:r w:rsidRPr="004A7E6A">
        <w:rPr>
          <w:rStyle w:val="FootnoteTextChar"/>
          <w:i/>
          <w:sz w:val="20"/>
          <w:szCs w:val="20"/>
        </w:rPr>
        <w:t>Gender and Disability Research in the Nordic Countries</w:t>
      </w:r>
      <w:r w:rsidRPr="004A7E6A">
        <w:rPr>
          <w:rStyle w:val="FootnoteTextChar"/>
          <w:sz w:val="20"/>
          <w:szCs w:val="20"/>
        </w:rPr>
        <w:t xml:space="preserve">. Lund: </w:t>
      </w:r>
      <w:proofErr w:type="spellStart"/>
      <w:r w:rsidRPr="004A7E6A">
        <w:rPr>
          <w:rStyle w:val="FootnoteTextChar"/>
          <w:sz w:val="20"/>
          <w:szCs w:val="20"/>
        </w:rPr>
        <w:t>Studen</w:t>
      </w:r>
      <w:r w:rsidR="00427021" w:rsidRPr="004A7E6A">
        <w:rPr>
          <w:rStyle w:val="FootnoteTextChar"/>
          <w:sz w:val="20"/>
          <w:szCs w:val="20"/>
        </w:rPr>
        <w:t>tlitteratur</w:t>
      </w:r>
      <w:proofErr w:type="spellEnd"/>
      <w:r w:rsidR="00427021" w:rsidRPr="004A7E6A">
        <w:rPr>
          <w:rStyle w:val="FootnoteTextChar"/>
          <w:sz w:val="20"/>
          <w:szCs w:val="20"/>
        </w:rPr>
        <w:t>.</w:t>
      </w:r>
    </w:p>
    <w:p w:rsidR="00C34BBC" w:rsidRPr="004A7E6A" w:rsidRDefault="00685F76" w:rsidP="00D36C98">
      <w:pPr>
        <w:spacing w:after="360"/>
        <w:rPr>
          <w:rStyle w:val="FootnoteTextChar"/>
          <w:sz w:val="20"/>
          <w:szCs w:val="20"/>
        </w:rPr>
      </w:pPr>
      <w:proofErr w:type="spellStart"/>
      <w:r w:rsidRPr="004A7E6A">
        <w:rPr>
          <w:rStyle w:val="FootnoteTextChar"/>
          <w:sz w:val="20"/>
          <w:szCs w:val="20"/>
        </w:rPr>
        <w:t>Hugemark</w:t>
      </w:r>
      <w:proofErr w:type="spellEnd"/>
      <w:r w:rsidRPr="004A7E6A">
        <w:rPr>
          <w:rStyle w:val="FootnoteTextChar"/>
          <w:sz w:val="20"/>
          <w:szCs w:val="20"/>
        </w:rPr>
        <w:t>, A. &amp; Roman, C. (2007) ‘Diversity and Divisions in the Swedish Disability</w:t>
      </w:r>
      <w:r w:rsidR="00D36C98">
        <w:rPr>
          <w:rStyle w:val="FootnoteTextChar"/>
          <w:sz w:val="20"/>
          <w:szCs w:val="20"/>
        </w:rPr>
        <w:t xml:space="preserve"> </w:t>
      </w:r>
      <w:r w:rsidRPr="004A7E6A">
        <w:rPr>
          <w:rStyle w:val="FootnoteTextChar"/>
          <w:sz w:val="20"/>
          <w:szCs w:val="20"/>
        </w:rPr>
        <w:t xml:space="preserve">Movement: Disability, Gender, and Social Justice’. </w:t>
      </w:r>
      <w:r w:rsidRPr="004A7E6A">
        <w:rPr>
          <w:rStyle w:val="FootnoteTextChar"/>
          <w:i/>
          <w:sz w:val="20"/>
          <w:szCs w:val="20"/>
        </w:rPr>
        <w:t>Scandinavian Journal of Disability Research</w:t>
      </w:r>
      <w:r w:rsidRPr="004A7E6A">
        <w:rPr>
          <w:rStyle w:val="FootnoteTextChar"/>
          <w:sz w:val="20"/>
          <w:szCs w:val="20"/>
        </w:rPr>
        <w:t xml:space="preserve"> 9:1, 26–45.</w:t>
      </w:r>
    </w:p>
    <w:p w:rsidR="00254782" w:rsidRPr="004A7E6A" w:rsidRDefault="00D60B51" w:rsidP="00D36C98">
      <w:pPr>
        <w:spacing w:after="360"/>
        <w:rPr>
          <w:rStyle w:val="FootnoteTextChar"/>
          <w:sz w:val="20"/>
          <w:szCs w:val="20"/>
        </w:rPr>
      </w:pPr>
      <w:proofErr w:type="spellStart"/>
      <w:proofErr w:type="gramStart"/>
      <w:r w:rsidRPr="004A7E6A">
        <w:rPr>
          <w:sz w:val="20"/>
          <w:szCs w:val="20"/>
        </w:rPr>
        <w:t>Kettunen</w:t>
      </w:r>
      <w:proofErr w:type="spellEnd"/>
      <w:r w:rsidRPr="004A7E6A">
        <w:rPr>
          <w:sz w:val="20"/>
          <w:szCs w:val="20"/>
        </w:rPr>
        <w:t xml:space="preserve">, P. (2006) ‘The Power of International Comparison – A Perspective on the Making and Challenging of the Nordic Welfare State’ in </w:t>
      </w:r>
      <w:r w:rsidRPr="004A7E6A">
        <w:rPr>
          <w:rStyle w:val="FootnoteTextChar"/>
          <w:sz w:val="20"/>
          <w:szCs w:val="20"/>
        </w:rPr>
        <w:t xml:space="preserve">Christiansen, N. F., Petersen, K., </w:t>
      </w:r>
      <w:proofErr w:type="spellStart"/>
      <w:r w:rsidRPr="004A7E6A">
        <w:rPr>
          <w:rStyle w:val="FootnoteTextChar"/>
          <w:sz w:val="20"/>
          <w:szCs w:val="20"/>
        </w:rPr>
        <w:t>Edling</w:t>
      </w:r>
      <w:proofErr w:type="spellEnd"/>
      <w:r w:rsidRPr="004A7E6A">
        <w:rPr>
          <w:rStyle w:val="FootnoteTextChar"/>
          <w:sz w:val="20"/>
          <w:szCs w:val="20"/>
        </w:rPr>
        <w:t xml:space="preserve"> N. &amp; </w:t>
      </w:r>
      <w:proofErr w:type="spellStart"/>
      <w:r w:rsidRPr="004A7E6A">
        <w:rPr>
          <w:rStyle w:val="FootnoteTextChar"/>
          <w:sz w:val="20"/>
          <w:szCs w:val="20"/>
        </w:rPr>
        <w:t>Haave</w:t>
      </w:r>
      <w:proofErr w:type="spellEnd"/>
      <w:r w:rsidRPr="004A7E6A">
        <w:rPr>
          <w:rStyle w:val="FootnoteTextChar"/>
          <w:sz w:val="20"/>
          <w:szCs w:val="20"/>
        </w:rPr>
        <w:t xml:space="preserve">, P. (eds.) </w:t>
      </w:r>
      <w:r w:rsidRPr="004A7E6A">
        <w:rPr>
          <w:rStyle w:val="FootnoteTextChar"/>
          <w:i/>
          <w:sz w:val="20"/>
          <w:szCs w:val="20"/>
        </w:rPr>
        <w:t>The Nordic Model of Welfare.</w:t>
      </w:r>
      <w:proofErr w:type="gramEnd"/>
      <w:r w:rsidRPr="004A7E6A">
        <w:rPr>
          <w:rStyle w:val="FootnoteTextChar"/>
          <w:i/>
          <w:sz w:val="20"/>
          <w:szCs w:val="20"/>
        </w:rPr>
        <w:t xml:space="preserve"> </w:t>
      </w:r>
      <w:proofErr w:type="gramStart"/>
      <w:r w:rsidRPr="004A7E6A">
        <w:rPr>
          <w:rStyle w:val="FootnoteTextChar"/>
          <w:i/>
          <w:sz w:val="20"/>
          <w:szCs w:val="20"/>
        </w:rPr>
        <w:t>A Historical Reappraisal</w:t>
      </w:r>
      <w:r w:rsidRPr="004A7E6A">
        <w:rPr>
          <w:rStyle w:val="FootnoteTextChar"/>
          <w:sz w:val="20"/>
          <w:szCs w:val="20"/>
        </w:rPr>
        <w:t>.</w:t>
      </w:r>
      <w:proofErr w:type="gramEnd"/>
      <w:r w:rsidRPr="004A7E6A">
        <w:rPr>
          <w:rStyle w:val="FootnoteTextChar"/>
          <w:sz w:val="20"/>
          <w:szCs w:val="20"/>
        </w:rPr>
        <w:t xml:space="preserve"> Copenhagen: Museum </w:t>
      </w:r>
      <w:proofErr w:type="spellStart"/>
      <w:r w:rsidRPr="004A7E6A">
        <w:rPr>
          <w:rStyle w:val="FootnoteTextChar"/>
          <w:sz w:val="20"/>
          <w:szCs w:val="20"/>
        </w:rPr>
        <w:t>Tusculanum</w:t>
      </w:r>
      <w:proofErr w:type="spellEnd"/>
      <w:r w:rsidRPr="004A7E6A">
        <w:rPr>
          <w:rStyle w:val="FootnoteTextChar"/>
          <w:sz w:val="20"/>
          <w:szCs w:val="20"/>
        </w:rPr>
        <w:t xml:space="preserve"> Press.</w:t>
      </w:r>
    </w:p>
    <w:p w:rsidR="001255A5" w:rsidRPr="004A7E6A" w:rsidRDefault="00254782" w:rsidP="00D36C98">
      <w:pPr>
        <w:spacing w:after="360"/>
        <w:rPr>
          <w:rStyle w:val="FootnoteTextChar"/>
          <w:sz w:val="20"/>
          <w:szCs w:val="20"/>
        </w:rPr>
      </w:pPr>
      <w:proofErr w:type="spellStart"/>
      <w:r w:rsidRPr="004A7E6A">
        <w:rPr>
          <w:rStyle w:val="FootnoteTextChar"/>
          <w:sz w:val="20"/>
          <w:szCs w:val="20"/>
        </w:rPr>
        <w:t>Knutsson</w:t>
      </w:r>
      <w:proofErr w:type="spellEnd"/>
      <w:r w:rsidRPr="004A7E6A">
        <w:rPr>
          <w:rStyle w:val="FootnoteTextChar"/>
          <w:sz w:val="20"/>
          <w:szCs w:val="20"/>
        </w:rPr>
        <w:t xml:space="preserve">, S. (1998) </w:t>
      </w:r>
      <w:proofErr w:type="spellStart"/>
      <w:r w:rsidRPr="004A7E6A">
        <w:rPr>
          <w:rStyle w:val="FootnoteTextChar"/>
          <w:i/>
          <w:sz w:val="20"/>
          <w:szCs w:val="20"/>
        </w:rPr>
        <w:t>Funktionshindrades</w:t>
      </w:r>
      <w:proofErr w:type="spellEnd"/>
      <w:r w:rsidRPr="004A7E6A">
        <w:rPr>
          <w:rStyle w:val="FootnoteTextChar"/>
          <w:i/>
          <w:sz w:val="20"/>
          <w:szCs w:val="20"/>
        </w:rPr>
        <w:t xml:space="preserve"> </w:t>
      </w:r>
      <w:proofErr w:type="spellStart"/>
      <w:r w:rsidRPr="004A7E6A">
        <w:rPr>
          <w:rStyle w:val="FootnoteTextChar"/>
          <w:i/>
          <w:sz w:val="20"/>
          <w:szCs w:val="20"/>
        </w:rPr>
        <w:t>värdering</w:t>
      </w:r>
      <w:proofErr w:type="spellEnd"/>
      <w:r w:rsidRPr="004A7E6A">
        <w:rPr>
          <w:rStyle w:val="FootnoteTextChar"/>
          <w:i/>
          <w:sz w:val="20"/>
          <w:szCs w:val="20"/>
        </w:rPr>
        <w:t xml:space="preserve"> </w:t>
      </w:r>
      <w:proofErr w:type="spellStart"/>
      <w:r w:rsidRPr="004A7E6A">
        <w:rPr>
          <w:rStyle w:val="FootnoteTextChar"/>
          <w:i/>
          <w:sz w:val="20"/>
          <w:szCs w:val="20"/>
        </w:rPr>
        <w:t>av</w:t>
      </w:r>
      <w:proofErr w:type="spellEnd"/>
      <w:r w:rsidRPr="004A7E6A">
        <w:rPr>
          <w:rStyle w:val="FootnoteTextChar"/>
          <w:i/>
          <w:sz w:val="20"/>
          <w:szCs w:val="20"/>
        </w:rPr>
        <w:t xml:space="preserve"> </w:t>
      </w:r>
      <w:proofErr w:type="spellStart"/>
      <w:r w:rsidRPr="004A7E6A">
        <w:rPr>
          <w:rStyle w:val="FootnoteTextChar"/>
          <w:i/>
          <w:sz w:val="20"/>
          <w:szCs w:val="20"/>
        </w:rPr>
        <w:t>färdtjänst</w:t>
      </w:r>
      <w:proofErr w:type="spellEnd"/>
      <w:r w:rsidRPr="004A7E6A">
        <w:rPr>
          <w:rStyle w:val="FootnoteTextChar"/>
          <w:sz w:val="20"/>
          <w:szCs w:val="20"/>
        </w:rPr>
        <w:t>. Stockholm: Royal Institute of Technology.</w:t>
      </w:r>
    </w:p>
    <w:p w:rsidR="00E3414B" w:rsidRPr="004A7E6A" w:rsidRDefault="00E3414B" w:rsidP="00D36C98">
      <w:pPr>
        <w:spacing w:after="360"/>
        <w:rPr>
          <w:rStyle w:val="FootnoteTextChar"/>
          <w:sz w:val="20"/>
          <w:szCs w:val="20"/>
          <w:lang w:val="sv-SE"/>
        </w:rPr>
      </w:pPr>
      <w:r w:rsidRPr="004A7E6A">
        <w:rPr>
          <w:rStyle w:val="FootnoteTextChar"/>
          <w:sz w:val="20"/>
          <w:szCs w:val="20"/>
          <w:lang w:val="sv-SE"/>
        </w:rPr>
        <w:t xml:space="preserve">Lindberg, L. (2006) ‘Handikappolitikens utveckling – från institutioner till sektoransvar’ in Brusén, P. &amp; Printz, A. (eds.) </w:t>
      </w:r>
      <w:r w:rsidRPr="004A7E6A">
        <w:rPr>
          <w:rStyle w:val="FootnoteTextChar"/>
          <w:i/>
          <w:sz w:val="20"/>
          <w:szCs w:val="20"/>
          <w:lang w:val="sv-SE"/>
        </w:rPr>
        <w:t>Handikappolitiken i praktiken. Om den nationella handlingsplanen</w:t>
      </w:r>
      <w:r w:rsidRPr="004A7E6A">
        <w:rPr>
          <w:rStyle w:val="FootnoteTextChar"/>
          <w:sz w:val="20"/>
          <w:szCs w:val="20"/>
          <w:lang w:val="sv-SE"/>
        </w:rPr>
        <w:t>. Stockholm: Gothia.</w:t>
      </w:r>
    </w:p>
    <w:p w:rsidR="00CE26E3" w:rsidRPr="004A7E6A" w:rsidRDefault="00CE26E3" w:rsidP="00D36C98">
      <w:pPr>
        <w:spacing w:after="360"/>
        <w:rPr>
          <w:rStyle w:val="FootnoteTextChar"/>
          <w:sz w:val="20"/>
          <w:szCs w:val="20"/>
          <w:lang w:val="sv-SE"/>
        </w:rPr>
      </w:pPr>
      <w:r w:rsidRPr="004A7E6A">
        <w:rPr>
          <w:rStyle w:val="FootnoteTextChar"/>
          <w:sz w:val="20"/>
          <w:szCs w:val="20"/>
          <w:lang w:val="sv-SE"/>
        </w:rPr>
        <w:t xml:space="preserve">Lindberg, L. &amp; Grönvik, L. (2011) </w:t>
      </w:r>
      <w:r w:rsidRPr="004A7E6A">
        <w:rPr>
          <w:rStyle w:val="FootnoteTextChar"/>
          <w:i/>
          <w:sz w:val="20"/>
          <w:szCs w:val="20"/>
          <w:lang w:val="sv-SE"/>
        </w:rPr>
        <w:t xml:space="preserve">Funktionshinderpolitik </w:t>
      </w:r>
      <w:r w:rsidRPr="004A7E6A">
        <w:rPr>
          <w:i/>
          <w:sz w:val="20"/>
          <w:szCs w:val="20"/>
          <w:lang w:val="sv-SE"/>
        </w:rPr>
        <w:t>– en introduktion</w:t>
      </w:r>
      <w:r w:rsidRPr="004A7E6A">
        <w:rPr>
          <w:sz w:val="20"/>
          <w:szCs w:val="20"/>
          <w:lang w:val="sv-SE"/>
        </w:rPr>
        <w:t>. Lund: Studentlitteratur.</w:t>
      </w:r>
    </w:p>
    <w:p w:rsidR="00894939" w:rsidRPr="004A7E6A" w:rsidRDefault="001255A5" w:rsidP="00D36C98">
      <w:pPr>
        <w:spacing w:after="360"/>
        <w:rPr>
          <w:rStyle w:val="FootnoteTextChar"/>
          <w:sz w:val="20"/>
          <w:szCs w:val="20"/>
          <w:lang w:val="sv-SE"/>
        </w:rPr>
      </w:pPr>
      <w:r w:rsidRPr="004A7E6A">
        <w:rPr>
          <w:rStyle w:val="FootnoteTextChar"/>
          <w:sz w:val="20"/>
          <w:szCs w:val="20"/>
          <w:lang w:val="sv-SE"/>
        </w:rPr>
        <w:t xml:space="preserve">Lindqvist, R. (2007) </w:t>
      </w:r>
      <w:r w:rsidRPr="004A7E6A">
        <w:rPr>
          <w:rStyle w:val="FootnoteTextChar"/>
          <w:i/>
          <w:sz w:val="20"/>
          <w:szCs w:val="20"/>
          <w:lang w:val="sv-SE"/>
        </w:rPr>
        <w:t>Funktionshindrade i välfärdssamhället</w:t>
      </w:r>
      <w:r w:rsidRPr="004A7E6A">
        <w:rPr>
          <w:rStyle w:val="FootnoteTextChar"/>
          <w:sz w:val="20"/>
          <w:szCs w:val="20"/>
          <w:lang w:val="sv-SE"/>
        </w:rPr>
        <w:t>. Malmö: Gleerups.</w:t>
      </w:r>
    </w:p>
    <w:p w:rsidR="008900B1" w:rsidRPr="004A7E6A" w:rsidRDefault="00894939" w:rsidP="00D36C98">
      <w:pPr>
        <w:spacing w:after="360"/>
        <w:rPr>
          <w:sz w:val="20"/>
          <w:szCs w:val="20"/>
        </w:rPr>
      </w:pPr>
      <w:r w:rsidRPr="004A7E6A">
        <w:rPr>
          <w:sz w:val="20"/>
          <w:szCs w:val="20"/>
          <w:lang w:val="sv-SE"/>
        </w:rPr>
        <w:t>Mjöll Arnardóttir, O. (2009) ‘A Future of Multidimensional Disadvantage Equality?’</w:t>
      </w:r>
      <w:r w:rsidR="00F91812" w:rsidRPr="004A7E6A">
        <w:rPr>
          <w:sz w:val="20"/>
          <w:szCs w:val="20"/>
          <w:lang w:val="sv-SE"/>
        </w:rPr>
        <w:t xml:space="preserve"> in Mjöll Arnardóttir, O. &amp; Quinn, G. (eds.) </w:t>
      </w:r>
      <w:proofErr w:type="gramStart"/>
      <w:r w:rsidR="00F91812" w:rsidRPr="004A7E6A">
        <w:rPr>
          <w:i/>
          <w:sz w:val="20"/>
          <w:szCs w:val="20"/>
        </w:rPr>
        <w:t>The UN Convention on the Rights of Persons with Disabilities.</w:t>
      </w:r>
      <w:proofErr w:type="gramEnd"/>
      <w:r w:rsidR="00F91812" w:rsidRPr="004A7E6A">
        <w:rPr>
          <w:i/>
          <w:sz w:val="20"/>
          <w:szCs w:val="20"/>
        </w:rPr>
        <w:t xml:space="preserve"> </w:t>
      </w:r>
      <w:proofErr w:type="gramStart"/>
      <w:r w:rsidR="00F91812" w:rsidRPr="004A7E6A">
        <w:rPr>
          <w:i/>
          <w:sz w:val="20"/>
          <w:szCs w:val="20"/>
        </w:rPr>
        <w:t>European and Scandinavian Perspectives</w:t>
      </w:r>
      <w:r w:rsidR="00F91812" w:rsidRPr="004A7E6A">
        <w:rPr>
          <w:sz w:val="20"/>
          <w:szCs w:val="20"/>
        </w:rPr>
        <w:t>.</w:t>
      </w:r>
      <w:proofErr w:type="gramEnd"/>
      <w:r w:rsidR="00F91812" w:rsidRPr="004A7E6A">
        <w:rPr>
          <w:sz w:val="20"/>
          <w:szCs w:val="20"/>
        </w:rPr>
        <w:t xml:space="preserve"> Leiden: </w:t>
      </w:r>
      <w:proofErr w:type="spellStart"/>
      <w:r w:rsidR="00F91812" w:rsidRPr="004A7E6A">
        <w:rPr>
          <w:sz w:val="20"/>
          <w:szCs w:val="20"/>
        </w:rPr>
        <w:t>Martinus</w:t>
      </w:r>
      <w:proofErr w:type="spellEnd"/>
      <w:r w:rsidR="00F91812" w:rsidRPr="004A7E6A">
        <w:rPr>
          <w:sz w:val="20"/>
          <w:szCs w:val="20"/>
        </w:rPr>
        <w:t xml:space="preserve"> </w:t>
      </w:r>
      <w:proofErr w:type="spellStart"/>
      <w:r w:rsidR="00F91812" w:rsidRPr="004A7E6A">
        <w:rPr>
          <w:sz w:val="20"/>
          <w:szCs w:val="20"/>
        </w:rPr>
        <w:t>Nijhoff</w:t>
      </w:r>
      <w:proofErr w:type="spellEnd"/>
      <w:r w:rsidR="00F91812" w:rsidRPr="004A7E6A">
        <w:rPr>
          <w:sz w:val="20"/>
          <w:szCs w:val="20"/>
        </w:rPr>
        <w:t>.</w:t>
      </w:r>
    </w:p>
    <w:p w:rsidR="009B7BFA" w:rsidRPr="004A7E6A" w:rsidRDefault="00724552" w:rsidP="00D36C98">
      <w:pPr>
        <w:spacing w:after="360"/>
        <w:rPr>
          <w:rStyle w:val="FootnoteTextChar"/>
          <w:sz w:val="20"/>
          <w:szCs w:val="20"/>
          <w:lang w:val="sv-SE"/>
        </w:rPr>
      </w:pPr>
      <w:proofErr w:type="gramStart"/>
      <w:r w:rsidRPr="004A7E6A">
        <w:rPr>
          <w:rStyle w:val="FootnoteTextChar"/>
          <w:sz w:val="20"/>
          <w:szCs w:val="20"/>
        </w:rPr>
        <w:t>Nash, K. &amp; Bell, V. (2007) ‘The Politics of Framing – An Interview with Nancy Fraser’</w:t>
      </w:r>
      <w:r w:rsidR="003C5CB6" w:rsidRPr="004A7E6A">
        <w:rPr>
          <w:rStyle w:val="FootnoteTextChar"/>
          <w:sz w:val="20"/>
          <w:szCs w:val="20"/>
        </w:rPr>
        <w:t>.</w:t>
      </w:r>
      <w:proofErr w:type="gramEnd"/>
      <w:r w:rsidRPr="004A7E6A">
        <w:rPr>
          <w:rStyle w:val="FootnoteTextChar"/>
          <w:sz w:val="20"/>
          <w:szCs w:val="20"/>
        </w:rPr>
        <w:t xml:space="preserve"> </w:t>
      </w:r>
      <w:r w:rsidRPr="004A7E6A">
        <w:rPr>
          <w:rStyle w:val="FootnoteTextChar"/>
          <w:i/>
          <w:sz w:val="20"/>
          <w:szCs w:val="20"/>
          <w:lang w:val="sv-SE"/>
        </w:rPr>
        <w:t>Theory Culture Society</w:t>
      </w:r>
      <w:r w:rsidR="0072767E">
        <w:rPr>
          <w:rStyle w:val="FootnoteTextChar"/>
          <w:sz w:val="20"/>
          <w:szCs w:val="20"/>
          <w:lang w:val="sv-SE"/>
        </w:rPr>
        <w:t xml:space="preserve"> 24:4</w:t>
      </w:r>
      <w:r w:rsidRPr="004A7E6A">
        <w:rPr>
          <w:rStyle w:val="FootnoteTextChar"/>
          <w:sz w:val="20"/>
          <w:szCs w:val="20"/>
          <w:lang w:val="sv-SE"/>
        </w:rPr>
        <w:t>, 73–86.</w:t>
      </w:r>
    </w:p>
    <w:p w:rsidR="00D60B51" w:rsidRPr="004A7E6A" w:rsidRDefault="009B7BFA" w:rsidP="00D36C98">
      <w:pPr>
        <w:spacing w:after="360"/>
        <w:rPr>
          <w:rStyle w:val="FootnoteTextChar"/>
          <w:sz w:val="20"/>
          <w:szCs w:val="20"/>
        </w:rPr>
      </w:pPr>
      <w:r w:rsidRPr="004A7E6A">
        <w:rPr>
          <w:rStyle w:val="FootnoteTextChar"/>
          <w:sz w:val="20"/>
          <w:szCs w:val="20"/>
          <w:lang w:val="sv-SE"/>
        </w:rPr>
        <w:t xml:space="preserve">Nordgren, C. (2009) ‘Dubbla sociala normer. Existenser och effekter i vardagen för personer med funktionsnedsättning’. </w:t>
      </w:r>
      <w:proofErr w:type="spellStart"/>
      <w:proofErr w:type="gramStart"/>
      <w:r w:rsidR="00B96502" w:rsidRPr="004A7E6A">
        <w:rPr>
          <w:rStyle w:val="FootnoteTextChar"/>
          <w:i/>
          <w:sz w:val="20"/>
          <w:szCs w:val="20"/>
        </w:rPr>
        <w:t>Retfæ</w:t>
      </w:r>
      <w:r w:rsidRPr="004A7E6A">
        <w:rPr>
          <w:rStyle w:val="FootnoteTextChar"/>
          <w:i/>
          <w:sz w:val="20"/>
          <w:szCs w:val="20"/>
        </w:rPr>
        <w:t>rd</w:t>
      </w:r>
      <w:proofErr w:type="spellEnd"/>
      <w:r w:rsidR="00493D7B" w:rsidRPr="004A7E6A">
        <w:rPr>
          <w:rStyle w:val="FootnoteTextChar"/>
          <w:sz w:val="20"/>
          <w:szCs w:val="20"/>
        </w:rPr>
        <w:t xml:space="preserve"> nr.</w:t>
      </w:r>
      <w:proofErr w:type="gramEnd"/>
      <w:r w:rsidR="00493D7B" w:rsidRPr="004A7E6A">
        <w:rPr>
          <w:rStyle w:val="FootnoteTextChar"/>
          <w:sz w:val="20"/>
          <w:szCs w:val="20"/>
        </w:rPr>
        <w:t xml:space="preserve"> 2/125, 3–25.</w:t>
      </w:r>
    </w:p>
    <w:p w:rsidR="009A4E85" w:rsidRPr="004A7E6A" w:rsidRDefault="009A4E85" w:rsidP="00D36C98">
      <w:pPr>
        <w:spacing w:after="360"/>
        <w:rPr>
          <w:rStyle w:val="FootnoteTextChar"/>
          <w:sz w:val="20"/>
          <w:szCs w:val="20"/>
        </w:rPr>
      </w:pPr>
      <w:proofErr w:type="gramStart"/>
      <w:r w:rsidRPr="004A7E6A">
        <w:rPr>
          <w:rStyle w:val="FootnoteTextChar"/>
          <w:sz w:val="20"/>
          <w:szCs w:val="20"/>
        </w:rPr>
        <w:t xml:space="preserve">Sainsbury, D. (1996) </w:t>
      </w:r>
      <w:r w:rsidR="0072767E">
        <w:rPr>
          <w:rStyle w:val="FootnoteTextChar"/>
          <w:i/>
          <w:sz w:val="20"/>
          <w:szCs w:val="20"/>
        </w:rPr>
        <w:t>Gender, E</w:t>
      </w:r>
      <w:r w:rsidRPr="004A7E6A">
        <w:rPr>
          <w:rStyle w:val="FootnoteTextChar"/>
          <w:i/>
          <w:sz w:val="20"/>
          <w:szCs w:val="20"/>
        </w:rPr>
        <w:t>qua</w:t>
      </w:r>
      <w:r w:rsidR="0072767E">
        <w:rPr>
          <w:rStyle w:val="FootnoteTextChar"/>
          <w:i/>
          <w:sz w:val="20"/>
          <w:szCs w:val="20"/>
        </w:rPr>
        <w:t>lity, and Welfare S</w:t>
      </w:r>
      <w:r w:rsidRPr="004A7E6A">
        <w:rPr>
          <w:rStyle w:val="FootnoteTextChar"/>
          <w:i/>
          <w:sz w:val="20"/>
          <w:szCs w:val="20"/>
        </w:rPr>
        <w:t>tates</w:t>
      </w:r>
      <w:r w:rsidRPr="004A7E6A">
        <w:rPr>
          <w:rStyle w:val="FootnoteTextChar"/>
          <w:sz w:val="20"/>
          <w:szCs w:val="20"/>
        </w:rPr>
        <w:t>.</w:t>
      </w:r>
      <w:proofErr w:type="gramEnd"/>
      <w:r w:rsidRPr="004A7E6A">
        <w:rPr>
          <w:rStyle w:val="FootnoteTextChar"/>
          <w:sz w:val="20"/>
          <w:szCs w:val="20"/>
        </w:rPr>
        <w:t xml:space="preserve"> Cambridge: Cambridge University Press</w:t>
      </w:r>
      <w:r w:rsidR="006D7B8E" w:rsidRPr="004A7E6A">
        <w:rPr>
          <w:rStyle w:val="FootnoteTextChar"/>
          <w:sz w:val="20"/>
          <w:szCs w:val="20"/>
        </w:rPr>
        <w:t>.</w:t>
      </w:r>
    </w:p>
    <w:p w:rsidR="00CF1BB6" w:rsidRPr="004A7E6A" w:rsidRDefault="00C34BBC" w:rsidP="00D36C98">
      <w:pPr>
        <w:spacing w:after="360"/>
        <w:rPr>
          <w:rStyle w:val="FootnoteTextChar"/>
          <w:sz w:val="20"/>
          <w:szCs w:val="20"/>
          <w:lang w:val="sv-SE"/>
        </w:rPr>
      </w:pPr>
      <w:r w:rsidRPr="004A7E6A">
        <w:rPr>
          <w:rStyle w:val="FootnoteTextChar"/>
          <w:sz w:val="20"/>
          <w:szCs w:val="20"/>
        </w:rPr>
        <w:t xml:space="preserve">Sainsbury, D. (1999) ‘Gender and Social-Democratic </w:t>
      </w:r>
      <w:smartTag w:uri="urn:schemas-microsoft-com:office:smarttags" w:element="PersonName">
        <w:r w:rsidRPr="004A7E6A">
          <w:rPr>
            <w:rStyle w:val="FootnoteTextChar"/>
            <w:sz w:val="20"/>
            <w:szCs w:val="20"/>
          </w:rPr>
          <w:t>Welfare</w:t>
        </w:r>
      </w:smartTag>
      <w:r w:rsidRPr="004A7E6A">
        <w:rPr>
          <w:rStyle w:val="FootnoteTextChar"/>
          <w:sz w:val="20"/>
          <w:szCs w:val="20"/>
        </w:rPr>
        <w:t xml:space="preserve"> States’ in Sainsbury, D. (ed.) </w:t>
      </w:r>
      <w:r w:rsidRPr="004A7E6A">
        <w:rPr>
          <w:rStyle w:val="FootnoteTextChar"/>
          <w:i/>
          <w:sz w:val="20"/>
          <w:szCs w:val="20"/>
        </w:rPr>
        <w:t xml:space="preserve">Gender and </w:t>
      </w:r>
      <w:smartTag w:uri="urn:schemas-microsoft-com:office:smarttags" w:element="PersonName">
        <w:r w:rsidRPr="004A7E6A">
          <w:rPr>
            <w:rStyle w:val="FootnoteTextChar"/>
            <w:i/>
            <w:sz w:val="20"/>
            <w:szCs w:val="20"/>
          </w:rPr>
          <w:t>Welfare</w:t>
        </w:r>
      </w:smartTag>
      <w:r w:rsidRPr="004A7E6A">
        <w:rPr>
          <w:rStyle w:val="FootnoteTextChar"/>
          <w:i/>
          <w:sz w:val="20"/>
          <w:szCs w:val="20"/>
        </w:rPr>
        <w:t xml:space="preserve"> State Regimes</w:t>
      </w:r>
      <w:r w:rsidRPr="004A7E6A">
        <w:rPr>
          <w:rStyle w:val="FootnoteTextChar"/>
          <w:sz w:val="20"/>
          <w:szCs w:val="20"/>
        </w:rPr>
        <w:t xml:space="preserve">. </w:t>
      </w:r>
      <w:r w:rsidRPr="004A7E6A">
        <w:rPr>
          <w:rStyle w:val="FootnoteTextChar"/>
          <w:sz w:val="20"/>
          <w:szCs w:val="20"/>
          <w:lang w:val="sv-SE"/>
        </w:rPr>
        <w:t>Oxford: Oxford University Press.</w:t>
      </w:r>
    </w:p>
    <w:p w:rsidR="00746335" w:rsidRPr="004A7E6A" w:rsidRDefault="00CF1BB6" w:rsidP="00D36C98">
      <w:pPr>
        <w:spacing w:after="360"/>
        <w:rPr>
          <w:rStyle w:val="FootnoteTextChar"/>
          <w:sz w:val="20"/>
          <w:szCs w:val="20"/>
          <w:lang w:val="sv-SE"/>
        </w:rPr>
      </w:pPr>
      <w:r w:rsidRPr="004A7E6A">
        <w:rPr>
          <w:rStyle w:val="FootnoteTextChar"/>
          <w:sz w:val="20"/>
          <w:szCs w:val="20"/>
          <w:lang w:val="sv-SE"/>
        </w:rPr>
        <w:t xml:space="preserve">Strömberg, H. (2011) </w:t>
      </w:r>
      <w:r w:rsidRPr="004A7E6A">
        <w:rPr>
          <w:rStyle w:val="FootnoteTextChar"/>
          <w:i/>
          <w:sz w:val="20"/>
          <w:szCs w:val="20"/>
          <w:lang w:val="sv-SE"/>
        </w:rPr>
        <w:t xml:space="preserve">Färdtjänst i glesa bygder </w:t>
      </w:r>
      <w:r w:rsidRPr="004A7E6A">
        <w:rPr>
          <w:i/>
          <w:sz w:val="20"/>
          <w:szCs w:val="20"/>
          <w:lang w:val="sv-SE"/>
        </w:rPr>
        <w:t xml:space="preserve">– </w:t>
      </w:r>
      <w:r w:rsidRPr="004A7E6A">
        <w:rPr>
          <w:rStyle w:val="FootnoteTextChar"/>
          <w:i/>
          <w:sz w:val="20"/>
          <w:szCs w:val="20"/>
          <w:lang w:val="sv-SE"/>
        </w:rPr>
        <w:t>TRUM-Rapport 2011:01</w:t>
      </w:r>
      <w:r w:rsidRPr="004A7E6A">
        <w:rPr>
          <w:rStyle w:val="FootnoteTextChar"/>
          <w:sz w:val="20"/>
          <w:szCs w:val="20"/>
          <w:lang w:val="sv-SE"/>
        </w:rPr>
        <w:t>. Umeå: Umeå University.</w:t>
      </w:r>
    </w:p>
    <w:p w:rsidR="006D7B8E" w:rsidRPr="004A7E6A" w:rsidRDefault="006D7B8E" w:rsidP="00D36C98">
      <w:pPr>
        <w:spacing w:after="360"/>
        <w:rPr>
          <w:rStyle w:val="FootnoteTextChar"/>
          <w:sz w:val="20"/>
          <w:szCs w:val="20"/>
        </w:rPr>
      </w:pPr>
      <w:r w:rsidRPr="004A7E6A">
        <w:rPr>
          <w:rStyle w:val="FootnoteTextChar"/>
          <w:sz w:val="20"/>
          <w:szCs w:val="20"/>
          <w:lang w:val="sv-SE"/>
        </w:rPr>
        <w:t xml:space="preserve">Svensson, E-M. (1997) </w:t>
      </w:r>
      <w:r w:rsidRPr="004A7E6A">
        <w:rPr>
          <w:rStyle w:val="FootnoteTextChar"/>
          <w:i/>
          <w:sz w:val="20"/>
          <w:szCs w:val="20"/>
          <w:lang w:val="sv-SE"/>
        </w:rPr>
        <w:t xml:space="preserve">Genus och rätt </w:t>
      </w:r>
      <w:r w:rsidRPr="004A7E6A">
        <w:rPr>
          <w:i/>
          <w:sz w:val="20"/>
          <w:szCs w:val="20"/>
          <w:lang w:val="sv-SE"/>
        </w:rPr>
        <w:t>– en problematisering av föreställningen om rätte</w:t>
      </w:r>
      <w:r w:rsidRPr="004A7E6A">
        <w:rPr>
          <w:sz w:val="20"/>
          <w:szCs w:val="20"/>
          <w:lang w:val="sv-SE"/>
        </w:rPr>
        <w:t xml:space="preserve">n. </w:t>
      </w:r>
      <w:r w:rsidRPr="004A7E6A">
        <w:rPr>
          <w:sz w:val="20"/>
          <w:szCs w:val="20"/>
        </w:rPr>
        <w:t xml:space="preserve">Uppsala: </w:t>
      </w:r>
      <w:proofErr w:type="spellStart"/>
      <w:r w:rsidRPr="004A7E6A">
        <w:rPr>
          <w:sz w:val="20"/>
          <w:szCs w:val="20"/>
        </w:rPr>
        <w:t>Iustus</w:t>
      </w:r>
      <w:proofErr w:type="spellEnd"/>
      <w:r w:rsidRPr="004A7E6A">
        <w:rPr>
          <w:sz w:val="20"/>
          <w:szCs w:val="20"/>
        </w:rPr>
        <w:t xml:space="preserve"> </w:t>
      </w:r>
      <w:proofErr w:type="spellStart"/>
      <w:r w:rsidRPr="004A7E6A">
        <w:rPr>
          <w:sz w:val="20"/>
          <w:szCs w:val="20"/>
        </w:rPr>
        <w:t>Förlag</w:t>
      </w:r>
      <w:proofErr w:type="spellEnd"/>
      <w:r w:rsidRPr="004A7E6A">
        <w:rPr>
          <w:sz w:val="20"/>
          <w:szCs w:val="20"/>
        </w:rPr>
        <w:t>.</w:t>
      </w:r>
    </w:p>
    <w:p w:rsidR="00176467" w:rsidRPr="004A7E6A" w:rsidRDefault="00746335" w:rsidP="00D36C98">
      <w:pPr>
        <w:spacing w:after="360"/>
        <w:rPr>
          <w:rStyle w:val="FootnoteTextChar"/>
          <w:sz w:val="20"/>
          <w:szCs w:val="20"/>
        </w:rPr>
      </w:pPr>
      <w:proofErr w:type="spellStart"/>
      <w:r w:rsidRPr="004A7E6A">
        <w:rPr>
          <w:sz w:val="20"/>
          <w:szCs w:val="20"/>
        </w:rPr>
        <w:lastRenderedPageBreak/>
        <w:t>Traustadóttir</w:t>
      </w:r>
      <w:proofErr w:type="spellEnd"/>
      <w:r w:rsidRPr="004A7E6A">
        <w:rPr>
          <w:sz w:val="20"/>
          <w:szCs w:val="20"/>
        </w:rPr>
        <w:t>, R. (2009) ‘Disability Studies, the Social Model and Legal Dev</w:t>
      </w:r>
      <w:r w:rsidR="00F91812" w:rsidRPr="004A7E6A">
        <w:rPr>
          <w:sz w:val="20"/>
          <w:szCs w:val="20"/>
        </w:rPr>
        <w:t xml:space="preserve">elopments’ in </w:t>
      </w:r>
      <w:proofErr w:type="spellStart"/>
      <w:r w:rsidR="00F91812" w:rsidRPr="004A7E6A">
        <w:rPr>
          <w:sz w:val="20"/>
          <w:szCs w:val="20"/>
        </w:rPr>
        <w:t>Mjöll</w:t>
      </w:r>
      <w:proofErr w:type="spellEnd"/>
      <w:r w:rsidR="00F91812" w:rsidRPr="004A7E6A">
        <w:rPr>
          <w:sz w:val="20"/>
          <w:szCs w:val="20"/>
        </w:rPr>
        <w:t xml:space="preserve"> </w:t>
      </w:r>
      <w:proofErr w:type="spellStart"/>
      <w:r w:rsidR="00F91812" w:rsidRPr="004A7E6A">
        <w:rPr>
          <w:sz w:val="20"/>
          <w:szCs w:val="20"/>
        </w:rPr>
        <w:t>Arnardóttir</w:t>
      </w:r>
      <w:proofErr w:type="spellEnd"/>
      <w:r w:rsidR="00F91812" w:rsidRPr="004A7E6A">
        <w:rPr>
          <w:sz w:val="20"/>
          <w:szCs w:val="20"/>
        </w:rPr>
        <w:t>, O.</w:t>
      </w:r>
      <w:r w:rsidRPr="004A7E6A">
        <w:rPr>
          <w:sz w:val="20"/>
          <w:szCs w:val="20"/>
        </w:rPr>
        <w:t xml:space="preserve"> &amp; Quinn, G. (eds.) </w:t>
      </w:r>
      <w:r w:rsidRPr="004A7E6A">
        <w:rPr>
          <w:i/>
          <w:sz w:val="20"/>
          <w:szCs w:val="20"/>
        </w:rPr>
        <w:t xml:space="preserve">The UN Convention on the Rights of Persons with Disabilities. </w:t>
      </w:r>
      <w:proofErr w:type="gramStart"/>
      <w:r w:rsidRPr="004A7E6A">
        <w:rPr>
          <w:i/>
          <w:sz w:val="20"/>
          <w:szCs w:val="20"/>
        </w:rPr>
        <w:t>European and Scandinavian Perspectives</w:t>
      </w:r>
      <w:r w:rsidRPr="004A7E6A">
        <w:rPr>
          <w:sz w:val="20"/>
          <w:szCs w:val="20"/>
        </w:rPr>
        <w:t>.</w:t>
      </w:r>
      <w:proofErr w:type="gramEnd"/>
      <w:r w:rsidRPr="004A7E6A">
        <w:rPr>
          <w:sz w:val="20"/>
          <w:szCs w:val="20"/>
        </w:rPr>
        <w:t xml:space="preserve"> Leiden: </w:t>
      </w:r>
      <w:proofErr w:type="spellStart"/>
      <w:r w:rsidRPr="004A7E6A">
        <w:rPr>
          <w:sz w:val="20"/>
          <w:szCs w:val="20"/>
        </w:rPr>
        <w:t>Martinus</w:t>
      </w:r>
      <w:proofErr w:type="spellEnd"/>
      <w:r w:rsidRPr="004A7E6A">
        <w:rPr>
          <w:sz w:val="20"/>
          <w:szCs w:val="20"/>
        </w:rPr>
        <w:t xml:space="preserve"> </w:t>
      </w:r>
      <w:proofErr w:type="spellStart"/>
      <w:r w:rsidRPr="004A7E6A">
        <w:rPr>
          <w:sz w:val="20"/>
          <w:szCs w:val="20"/>
        </w:rPr>
        <w:t>Nijhoff</w:t>
      </w:r>
      <w:proofErr w:type="spellEnd"/>
      <w:r w:rsidRPr="004A7E6A">
        <w:rPr>
          <w:sz w:val="20"/>
          <w:szCs w:val="20"/>
        </w:rPr>
        <w:t>.</w:t>
      </w:r>
    </w:p>
    <w:p w:rsidR="003E153A" w:rsidRPr="004A7E6A" w:rsidRDefault="003E153A" w:rsidP="00D36C98">
      <w:pPr>
        <w:spacing w:after="360"/>
        <w:rPr>
          <w:rStyle w:val="FootnoteTextChar"/>
          <w:sz w:val="20"/>
          <w:szCs w:val="20"/>
        </w:rPr>
      </w:pPr>
      <w:proofErr w:type="spellStart"/>
      <w:r w:rsidRPr="004A7E6A">
        <w:rPr>
          <w:rStyle w:val="FootnoteTextChar"/>
          <w:sz w:val="20"/>
          <w:szCs w:val="20"/>
        </w:rPr>
        <w:t>Tøssebro</w:t>
      </w:r>
      <w:proofErr w:type="spellEnd"/>
      <w:r w:rsidRPr="004A7E6A">
        <w:rPr>
          <w:rStyle w:val="FootnoteTextChar"/>
          <w:sz w:val="20"/>
          <w:szCs w:val="20"/>
        </w:rPr>
        <w:t xml:space="preserve">, </w:t>
      </w:r>
      <w:r w:rsidR="0072767E">
        <w:rPr>
          <w:rStyle w:val="FootnoteTextChar"/>
          <w:sz w:val="20"/>
          <w:szCs w:val="20"/>
        </w:rPr>
        <w:t>J. (2004) ‘Introduction to the S</w:t>
      </w:r>
      <w:r w:rsidRPr="004A7E6A">
        <w:rPr>
          <w:rStyle w:val="FootnoteTextChar"/>
          <w:sz w:val="20"/>
          <w:szCs w:val="20"/>
        </w:rPr>
        <w:t xml:space="preserve">pecial </w:t>
      </w:r>
      <w:r w:rsidR="0072767E">
        <w:rPr>
          <w:rStyle w:val="FootnoteTextChar"/>
          <w:sz w:val="20"/>
          <w:szCs w:val="20"/>
        </w:rPr>
        <w:t>Issue: Understanding D</w:t>
      </w:r>
      <w:r w:rsidRPr="004A7E6A">
        <w:rPr>
          <w:rStyle w:val="FootnoteTextChar"/>
          <w:sz w:val="20"/>
          <w:szCs w:val="20"/>
        </w:rPr>
        <w:t xml:space="preserve">isability’. </w:t>
      </w:r>
      <w:r w:rsidRPr="004A7E6A">
        <w:rPr>
          <w:rStyle w:val="FootnoteTextChar"/>
          <w:i/>
          <w:sz w:val="20"/>
          <w:szCs w:val="20"/>
        </w:rPr>
        <w:t>Scandinavian Journal of Disability Research</w:t>
      </w:r>
      <w:r w:rsidRPr="004A7E6A">
        <w:rPr>
          <w:rStyle w:val="FootnoteTextChar"/>
          <w:sz w:val="20"/>
          <w:szCs w:val="20"/>
        </w:rPr>
        <w:t xml:space="preserve"> 6:1, 3–7.</w:t>
      </w:r>
    </w:p>
    <w:p w:rsidR="004C4E03" w:rsidRPr="004A7E6A" w:rsidRDefault="00176467" w:rsidP="00D36C98">
      <w:pPr>
        <w:spacing w:after="360"/>
        <w:rPr>
          <w:rStyle w:val="FootnoteTextChar"/>
          <w:sz w:val="20"/>
          <w:szCs w:val="20"/>
          <w:lang w:val="sv-SE"/>
        </w:rPr>
      </w:pPr>
      <w:proofErr w:type="spellStart"/>
      <w:r w:rsidRPr="004A7E6A">
        <w:rPr>
          <w:rStyle w:val="FootnoteTextChar"/>
          <w:sz w:val="20"/>
          <w:szCs w:val="20"/>
        </w:rPr>
        <w:t>Vahlne</w:t>
      </w:r>
      <w:proofErr w:type="spellEnd"/>
      <w:r w:rsidRPr="004A7E6A">
        <w:rPr>
          <w:rStyle w:val="FootnoteTextChar"/>
          <w:sz w:val="20"/>
          <w:szCs w:val="20"/>
        </w:rPr>
        <w:t xml:space="preserve"> </w:t>
      </w:r>
      <w:proofErr w:type="spellStart"/>
      <w:r w:rsidRPr="004A7E6A">
        <w:rPr>
          <w:rStyle w:val="FootnoteTextChar"/>
          <w:sz w:val="20"/>
          <w:szCs w:val="20"/>
        </w:rPr>
        <w:t>Westerhäll</w:t>
      </w:r>
      <w:proofErr w:type="spellEnd"/>
      <w:r w:rsidRPr="004A7E6A">
        <w:rPr>
          <w:rStyle w:val="FootnoteTextChar"/>
          <w:sz w:val="20"/>
          <w:szCs w:val="20"/>
        </w:rPr>
        <w:t xml:space="preserve">, L. (2002) </w:t>
      </w:r>
      <w:r w:rsidRPr="004A7E6A">
        <w:rPr>
          <w:rStyle w:val="FootnoteTextChar"/>
          <w:i/>
          <w:sz w:val="20"/>
          <w:szCs w:val="20"/>
        </w:rPr>
        <w:t xml:space="preserve">Den </w:t>
      </w:r>
      <w:proofErr w:type="spellStart"/>
      <w:r w:rsidRPr="004A7E6A">
        <w:rPr>
          <w:rStyle w:val="FootnoteTextChar"/>
          <w:i/>
          <w:sz w:val="20"/>
          <w:szCs w:val="20"/>
        </w:rPr>
        <w:t>starka</w:t>
      </w:r>
      <w:proofErr w:type="spellEnd"/>
      <w:r w:rsidRPr="004A7E6A">
        <w:rPr>
          <w:rStyle w:val="FootnoteTextChar"/>
          <w:i/>
          <w:sz w:val="20"/>
          <w:szCs w:val="20"/>
        </w:rPr>
        <w:t xml:space="preserve"> </w:t>
      </w:r>
      <w:proofErr w:type="spellStart"/>
      <w:r w:rsidRPr="004A7E6A">
        <w:rPr>
          <w:rStyle w:val="FootnoteTextChar"/>
          <w:i/>
          <w:sz w:val="20"/>
          <w:szCs w:val="20"/>
        </w:rPr>
        <w:t>statens</w:t>
      </w:r>
      <w:proofErr w:type="spellEnd"/>
      <w:r w:rsidRPr="004A7E6A">
        <w:rPr>
          <w:rStyle w:val="FootnoteTextChar"/>
          <w:i/>
          <w:sz w:val="20"/>
          <w:szCs w:val="20"/>
        </w:rPr>
        <w:t xml:space="preserve"> </w:t>
      </w:r>
      <w:proofErr w:type="gramStart"/>
      <w:r w:rsidRPr="004A7E6A">
        <w:rPr>
          <w:rStyle w:val="FootnoteTextChar"/>
          <w:i/>
          <w:sz w:val="20"/>
          <w:szCs w:val="20"/>
        </w:rPr>
        <w:t>fall</w:t>
      </w:r>
      <w:proofErr w:type="gramEnd"/>
      <w:r w:rsidRPr="004A7E6A">
        <w:rPr>
          <w:rStyle w:val="FootnoteTextChar"/>
          <w:i/>
          <w:sz w:val="20"/>
          <w:szCs w:val="20"/>
        </w:rPr>
        <w:t xml:space="preserve">? </w:t>
      </w:r>
      <w:r w:rsidRPr="004A7E6A">
        <w:rPr>
          <w:rStyle w:val="FootnoteTextChar"/>
          <w:i/>
          <w:sz w:val="20"/>
          <w:szCs w:val="20"/>
          <w:lang w:val="sv-SE"/>
        </w:rPr>
        <w:t>En rättsvetenskaplig studie av svensk social trygghet 1950-2000</w:t>
      </w:r>
      <w:r w:rsidRPr="004A7E6A">
        <w:rPr>
          <w:rStyle w:val="FootnoteTextChar"/>
          <w:sz w:val="20"/>
          <w:szCs w:val="20"/>
          <w:lang w:val="sv-SE"/>
        </w:rPr>
        <w:t>. Stockholm: Norstedts Juridik.</w:t>
      </w:r>
    </w:p>
    <w:p w:rsidR="007F6EF3" w:rsidRPr="004A7E6A" w:rsidRDefault="004C4E03" w:rsidP="00D36C98">
      <w:pPr>
        <w:spacing w:after="360"/>
        <w:rPr>
          <w:rStyle w:val="FootnoteTextChar"/>
          <w:sz w:val="20"/>
          <w:szCs w:val="20"/>
          <w:lang w:val="sv-SE"/>
        </w:rPr>
      </w:pPr>
      <w:r w:rsidRPr="004A7E6A">
        <w:rPr>
          <w:rStyle w:val="FootnoteTextChar"/>
          <w:sz w:val="20"/>
          <w:szCs w:val="20"/>
          <w:lang w:val="sv-SE"/>
        </w:rPr>
        <w:t xml:space="preserve">von Axelson, H. (2006) ‘Från individuell anpassning till generell tillgänglighetsförbättring’ in Brusén, P. &amp; Printz, A. (eds.) </w:t>
      </w:r>
      <w:r w:rsidRPr="004A7E6A">
        <w:rPr>
          <w:rStyle w:val="FootnoteTextChar"/>
          <w:i/>
          <w:sz w:val="20"/>
          <w:szCs w:val="20"/>
          <w:lang w:val="sv-SE"/>
        </w:rPr>
        <w:t>Handikappolitiken i praktiken. Om den nationella handlingsplanen</w:t>
      </w:r>
      <w:r w:rsidRPr="004A7E6A">
        <w:rPr>
          <w:rStyle w:val="FootnoteTextChar"/>
          <w:sz w:val="20"/>
          <w:szCs w:val="20"/>
          <w:lang w:val="sv-SE"/>
        </w:rPr>
        <w:t>. Stockholm: Gothia.</w:t>
      </w:r>
    </w:p>
    <w:p w:rsidR="006C17C3" w:rsidRPr="004A7E6A" w:rsidRDefault="007F6EF3" w:rsidP="00D36C98">
      <w:pPr>
        <w:spacing w:after="360"/>
        <w:rPr>
          <w:rStyle w:val="FootnoteTextChar"/>
          <w:sz w:val="20"/>
          <w:szCs w:val="20"/>
          <w:lang w:val="sv-SE"/>
        </w:rPr>
      </w:pPr>
      <w:r w:rsidRPr="004A7E6A">
        <w:rPr>
          <w:rStyle w:val="FootnoteTextChar"/>
          <w:sz w:val="20"/>
          <w:szCs w:val="20"/>
          <w:lang w:val="sv-SE"/>
        </w:rPr>
        <w:t xml:space="preserve">Vägverket (2001) </w:t>
      </w:r>
      <w:r w:rsidRPr="004A7E6A">
        <w:rPr>
          <w:rStyle w:val="FootnoteTextChar"/>
          <w:i/>
          <w:sz w:val="20"/>
          <w:szCs w:val="20"/>
          <w:lang w:val="sv-SE"/>
        </w:rPr>
        <w:t>Publikation 2001:86. Färdtjänst enligt lagen om färdtjänst i jämförelse med socialtjänstlagens tidigare bestämmelser. Redovisning och analys av tillämpning och effekter utifrån rättsfall</w:t>
      </w:r>
      <w:r w:rsidRPr="004A7E6A">
        <w:rPr>
          <w:rStyle w:val="FootnoteTextChar"/>
          <w:sz w:val="20"/>
          <w:szCs w:val="20"/>
          <w:lang w:val="sv-SE"/>
        </w:rPr>
        <w:t>. Borlänge: Vägverket.</w:t>
      </w:r>
    </w:p>
    <w:p w:rsidR="00804F36" w:rsidRPr="004A7E6A" w:rsidRDefault="006C17C3" w:rsidP="00D36C98">
      <w:pPr>
        <w:spacing w:after="360"/>
        <w:rPr>
          <w:sz w:val="20"/>
          <w:szCs w:val="20"/>
        </w:rPr>
      </w:pPr>
      <w:r w:rsidRPr="004A7E6A">
        <w:rPr>
          <w:rStyle w:val="FootnoteTextChar"/>
          <w:sz w:val="20"/>
          <w:szCs w:val="20"/>
          <w:lang w:val="sv-SE"/>
        </w:rPr>
        <w:t xml:space="preserve">Vägverket (2009) </w:t>
      </w:r>
      <w:r w:rsidRPr="004A7E6A">
        <w:rPr>
          <w:rStyle w:val="FootnoteTextChar"/>
          <w:i/>
          <w:sz w:val="20"/>
          <w:szCs w:val="20"/>
          <w:lang w:val="sv-SE"/>
        </w:rPr>
        <w:t>Kvalitet inom färdtjänsten – En kvalitativ studie – Vägverket oktober 2009</w:t>
      </w:r>
      <w:r w:rsidRPr="004A7E6A">
        <w:rPr>
          <w:rStyle w:val="FootnoteTextChar"/>
          <w:sz w:val="20"/>
          <w:szCs w:val="20"/>
          <w:lang w:val="sv-SE"/>
        </w:rPr>
        <w:t xml:space="preserve">. </w:t>
      </w:r>
      <w:proofErr w:type="spellStart"/>
      <w:r w:rsidRPr="004A7E6A">
        <w:rPr>
          <w:rStyle w:val="FootnoteTextChar"/>
          <w:sz w:val="20"/>
          <w:szCs w:val="20"/>
        </w:rPr>
        <w:t>Borlänge</w:t>
      </w:r>
      <w:proofErr w:type="spellEnd"/>
      <w:r w:rsidRPr="004A7E6A">
        <w:rPr>
          <w:rStyle w:val="FootnoteTextChar"/>
          <w:sz w:val="20"/>
          <w:szCs w:val="20"/>
        </w:rPr>
        <w:t xml:space="preserve">: </w:t>
      </w:r>
      <w:proofErr w:type="spellStart"/>
      <w:r w:rsidRPr="004A7E6A">
        <w:rPr>
          <w:rStyle w:val="FootnoteTextChar"/>
          <w:sz w:val="20"/>
          <w:szCs w:val="20"/>
        </w:rPr>
        <w:t>Vägverket</w:t>
      </w:r>
      <w:proofErr w:type="spellEnd"/>
      <w:r w:rsidRPr="004A7E6A">
        <w:rPr>
          <w:rStyle w:val="FootnoteTextChar"/>
          <w:sz w:val="20"/>
          <w:szCs w:val="20"/>
        </w:rPr>
        <w:t>.</w:t>
      </w:r>
    </w:p>
    <w:p w:rsidR="00AF37DA" w:rsidRPr="004A7E6A" w:rsidRDefault="00AF37DA" w:rsidP="00D36C98">
      <w:pPr>
        <w:spacing w:after="360"/>
        <w:rPr>
          <w:sz w:val="20"/>
          <w:szCs w:val="20"/>
        </w:rPr>
      </w:pPr>
      <w:proofErr w:type="spellStart"/>
      <w:r w:rsidRPr="004A7E6A">
        <w:rPr>
          <w:sz w:val="20"/>
          <w:szCs w:val="20"/>
        </w:rPr>
        <w:t>Walby</w:t>
      </w:r>
      <w:proofErr w:type="spellEnd"/>
      <w:r w:rsidRPr="004A7E6A">
        <w:rPr>
          <w:sz w:val="20"/>
          <w:szCs w:val="20"/>
        </w:rPr>
        <w:t xml:space="preserve">, S. (2011) </w:t>
      </w:r>
      <w:proofErr w:type="gramStart"/>
      <w:r w:rsidRPr="004A7E6A">
        <w:rPr>
          <w:i/>
          <w:sz w:val="20"/>
          <w:szCs w:val="20"/>
        </w:rPr>
        <w:t>The</w:t>
      </w:r>
      <w:proofErr w:type="gramEnd"/>
      <w:r w:rsidRPr="004A7E6A">
        <w:rPr>
          <w:i/>
          <w:sz w:val="20"/>
          <w:szCs w:val="20"/>
        </w:rPr>
        <w:t xml:space="preserve"> Future of Feminism</w:t>
      </w:r>
      <w:r w:rsidRPr="004A7E6A">
        <w:rPr>
          <w:sz w:val="20"/>
          <w:szCs w:val="20"/>
        </w:rPr>
        <w:t>. Cambridge: Polity.</w:t>
      </w:r>
    </w:p>
    <w:p w:rsidR="00A1384E" w:rsidRDefault="005C46FC" w:rsidP="00D36C98">
      <w:pPr>
        <w:spacing w:after="360"/>
        <w:rPr>
          <w:sz w:val="20"/>
          <w:szCs w:val="20"/>
          <w:lang w:val="sv-SE"/>
        </w:rPr>
      </w:pPr>
      <w:proofErr w:type="spellStart"/>
      <w:r w:rsidRPr="004A7E6A">
        <w:rPr>
          <w:sz w:val="20"/>
          <w:szCs w:val="20"/>
        </w:rPr>
        <w:t>Wennberg</w:t>
      </w:r>
      <w:proofErr w:type="spellEnd"/>
      <w:r w:rsidRPr="004A7E6A">
        <w:rPr>
          <w:sz w:val="20"/>
          <w:szCs w:val="20"/>
        </w:rPr>
        <w:t xml:space="preserve">, L. (2008) </w:t>
      </w:r>
      <w:r w:rsidRPr="004A7E6A">
        <w:rPr>
          <w:i/>
          <w:sz w:val="20"/>
          <w:szCs w:val="20"/>
        </w:rPr>
        <w:t>Social Security for Solo Mothers in Swedish and EU Law</w:t>
      </w:r>
      <w:r w:rsidRPr="004A7E6A">
        <w:rPr>
          <w:sz w:val="20"/>
          <w:szCs w:val="20"/>
        </w:rPr>
        <w:t xml:space="preserve">. </w:t>
      </w:r>
      <w:r w:rsidRPr="004A7E6A">
        <w:rPr>
          <w:sz w:val="20"/>
          <w:szCs w:val="20"/>
          <w:lang w:val="sv-SE"/>
        </w:rPr>
        <w:t>Uppsala: Iustus.</w:t>
      </w:r>
    </w:p>
    <w:p w:rsidR="00D36C98" w:rsidRPr="004A7E6A" w:rsidRDefault="00D36C98" w:rsidP="00D36C98">
      <w:pPr>
        <w:spacing w:after="360"/>
        <w:rPr>
          <w:sz w:val="20"/>
          <w:szCs w:val="20"/>
          <w:lang w:val="sv-SE"/>
        </w:rPr>
      </w:pPr>
    </w:p>
    <w:p w:rsidR="00A1384E" w:rsidRPr="004A7E6A" w:rsidRDefault="00A1384E" w:rsidP="00D36C98">
      <w:pPr>
        <w:pStyle w:val="Title"/>
        <w:spacing w:before="0" w:after="360"/>
        <w:rPr>
          <w:rFonts w:ascii="Times New Roman" w:hAnsi="Times New Roman"/>
          <w:sz w:val="20"/>
          <w:szCs w:val="20"/>
        </w:rPr>
      </w:pPr>
      <w:r w:rsidRPr="004A7E6A">
        <w:rPr>
          <w:rFonts w:ascii="Times New Roman" w:hAnsi="Times New Roman"/>
          <w:sz w:val="20"/>
          <w:szCs w:val="20"/>
        </w:rPr>
        <w:t>Government Committees</w:t>
      </w:r>
    </w:p>
    <w:p w:rsidR="0037302A" w:rsidRPr="004A7E6A" w:rsidRDefault="0037302A" w:rsidP="00D36C98">
      <w:pPr>
        <w:spacing w:after="360"/>
        <w:rPr>
          <w:sz w:val="20"/>
          <w:szCs w:val="20"/>
          <w:lang w:val="sv-SE"/>
        </w:rPr>
      </w:pPr>
      <w:r w:rsidRPr="004A7E6A">
        <w:rPr>
          <w:sz w:val="20"/>
          <w:szCs w:val="20"/>
          <w:lang w:val="sv-SE"/>
        </w:rPr>
        <w:t xml:space="preserve">SOU 1998:48 </w:t>
      </w:r>
      <w:r w:rsidRPr="004A7E6A">
        <w:rPr>
          <w:i/>
          <w:sz w:val="20"/>
          <w:szCs w:val="20"/>
          <w:lang w:val="sv-SE"/>
        </w:rPr>
        <w:t>Kontrollerad och ifrågasatt - intervjuer med personer med funktionshinder</w:t>
      </w:r>
      <w:r w:rsidRPr="004A7E6A">
        <w:rPr>
          <w:sz w:val="20"/>
          <w:szCs w:val="20"/>
          <w:lang w:val="sv-SE"/>
        </w:rPr>
        <w:t>.</w:t>
      </w:r>
    </w:p>
    <w:p w:rsidR="006D5C32" w:rsidRPr="004A7E6A" w:rsidRDefault="006D5C32" w:rsidP="00D36C98">
      <w:pPr>
        <w:spacing w:after="360"/>
        <w:rPr>
          <w:sz w:val="20"/>
          <w:szCs w:val="20"/>
          <w:lang w:val="sv-SE"/>
        </w:rPr>
      </w:pPr>
      <w:r w:rsidRPr="004A7E6A">
        <w:rPr>
          <w:sz w:val="20"/>
          <w:szCs w:val="20"/>
          <w:lang w:val="sv-SE"/>
        </w:rPr>
        <w:t xml:space="preserve">SOU 1999:21 </w:t>
      </w:r>
      <w:r w:rsidRPr="004A7E6A">
        <w:rPr>
          <w:i/>
          <w:sz w:val="20"/>
          <w:szCs w:val="20"/>
          <w:lang w:val="sv-SE"/>
        </w:rPr>
        <w:t>Lindqvists nia - nio vägar att utveckla bemötandet</w:t>
      </w:r>
      <w:r w:rsidRPr="004A7E6A">
        <w:rPr>
          <w:sz w:val="20"/>
          <w:szCs w:val="20"/>
          <w:lang w:val="sv-SE"/>
        </w:rPr>
        <w:t>.</w:t>
      </w:r>
    </w:p>
    <w:p w:rsidR="00066ABD" w:rsidRPr="004A7E6A" w:rsidRDefault="00066ABD" w:rsidP="00D36C98">
      <w:pPr>
        <w:spacing w:after="360"/>
        <w:rPr>
          <w:sz w:val="20"/>
          <w:szCs w:val="20"/>
          <w:lang w:val="sv-SE"/>
        </w:rPr>
      </w:pPr>
      <w:r w:rsidRPr="004A7E6A">
        <w:rPr>
          <w:sz w:val="20"/>
          <w:szCs w:val="20"/>
          <w:lang w:val="sv-SE"/>
        </w:rPr>
        <w:t xml:space="preserve">SOU 2003:87 </w:t>
      </w:r>
      <w:r w:rsidR="002124B7" w:rsidRPr="004A7E6A">
        <w:rPr>
          <w:i/>
          <w:sz w:val="20"/>
          <w:szCs w:val="20"/>
          <w:lang w:val="sv-SE"/>
        </w:rPr>
        <w:t>Färdtjänsten och riksfärd</w:t>
      </w:r>
      <w:r w:rsidRPr="004A7E6A">
        <w:rPr>
          <w:i/>
          <w:sz w:val="20"/>
          <w:szCs w:val="20"/>
          <w:lang w:val="sv-SE"/>
        </w:rPr>
        <w:t>tjänsten</w:t>
      </w:r>
      <w:r w:rsidR="0037302A" w:rsidRPr="004A7E6A">
        <w:rPr>
          <w:sz w:val="20"/>
          <w:szCs w:val="20"/>
          <w:lang w:val="sv-SE"/>
        </w:rPr>
        <w:t>.</w:t>
      </w:r>
    </w:p>
    <w:p w:rsidR="00A1384E" w:rsidRPr="004A7E6A" w:rsidRDefault="00A1384E" w:rsidP="00D36C98">
      <w:pPr>
        <w:spacing w:after="360"/>
        <w:jc w:val="both"/>
        <w:rPr>
          <w:sz w:val="20"/>
          <w:szCs w:val="20"/>
          <w:lang w:val="sv-SE"/>
        </w:rPr>
      </w:pPr>
    </w:p>
    <w:p w:rsidR="00A1384E" w:rsidRPr="004A7E6A" w:rsidRDefault="00A1384E" w:rsidP="00D36C98">
      <w:pPr>
        <w:pStyle w:val="Title"/>
        <w:spacing w:before="0" w:after="360"/>
        <w:rPr>
          <w:rFonts w:ascii="Times New Roman" w:hAnsi="Times New Roman"/>
          <w:sz w:val="20"/>
          <w:szCs w:val="20"/>
        </w:rPr>
      </w:pPr>
      <w:r w:rsidRPr="004A7E6A">
        <w:rPr>
          <w:rFonts w:ascii="Times New Roman" w:hAnsi="Times New Roman"/>
          <w:sz w:val="20"/>
          <w:szCs w:val="20"/>
        </w:rPr>
        <w:t>Government Proposals</w:t>
      </w:r>
    </w:p>
    <w:p w:rsidR="00361EB2" w:rsidRPr="004A7E6A" w:rsidRDefault="00361EB2" w:rsidP="00D36C98">
      <w:pPr>
        <w:spacing w:after="360"/>
        <w:rPr>
          <w:sz w:val="20"/>
          <w:szCs w:val="20"/>
          <w:lang w:val="sv-SE"/>
        </w:rPr>
      </w:pPr>
      <w:r w:rsidRPr="004A7E6A">
        <w:rPr>
          <w:sz w:val="20"/>
          <w:szCs w:val="20"/>
          <w:lang w:val="sv-SE"/>
        </w:rPr>
        <w:t xml:space="preserve">Prop. 1996/97:115 </w:t>
      </w:r>
      <w:r w:rsidRPr="004A7E6A">
        <w:rPr>
          <w:i/>
          <w:sz w:val="20"/>
          <w:szCs w:val="20"/>
          <w:lang w:val="sv-SE"/>
        </w:rPr>
        <w:t>Mer tillgänglig kollektivtrafik</w:t>
      </w:r>
    </w:p>
    <w:p w:rsidR="00A1384E" w:rsidRPr="004A7E6A" w:rsidRDefault="008976A7" w:rsidP="00D36C98">
      <w:pPr>
        <w:spacing w:after="360"/>
        <w:rPr>
          <w:sz w:val="20"/>
          <w:szCs w:val="20"/>
          <w:lang w:val="sv-SE"/>
        </w:rPr>
      </w:pPr>
      <w:r w:rsidRPr="004A7E6A">
        <w:rPr>
          <w:sz w:val="20"/>
          <w:szCs w:val="20"/>
          <w:lang w:val="sv-SE"/>
        </w:rPr>
        <w:t>Prop</w:t>
      </w:r>
      <w:r w:rsidR="004E0AAC" w:rsidRPr="004A7E6A">
        <w:rPr>
          <w:sz w:val="20"/>
          <w:szCs w:val="20"/>
          <w:lang w:val="sv-SE"/>
        </w:rPr>
        <w:t>.</w:t>
      </w:r>
      <w:r w:rsidR="00A1384E" w:rsidRPr="004A7E6A">
        <w:rPr>
          <w:sz w:val="20"/>
          <w:szCs w:val="20"/>
          <w:lang w:val="sv-SE"/>
        </w:rPr>
        <w:t xml:space="preserve"> 1999/2000:79 </w:t>
      </w:r>
      <w:r w:rsidR="00A1384E" w:rsidRPr="004A7E6A">
        <w:rPr>
          <w:i/>
          <w:sz w:val="20"/>
          <w:szCs w:val="20"/>
          <w:lang w:val="sv-SE"/>
        </w:rPr>
        <w:t>Från patient till medborgare - en nationell handlingsplan för handikappolitiken</w:t>
      </w:r>
      <w:r w:rsidR="0037302A" w:rsidRPr="004A7E6A">
        <w:rPr>
          <w:sz w:val="20"/>
          <w:szCs w:val="20"/>
          <w:lang w:val="sv-SE"/>
        </w:rPr>
        <w:t>.</w:t>
      </w:r>
    </w:p>
    <w:p w:rsidR="007A5A74" w:rsidRPr="004A7E6A" w:rsidRDefault="007A5A74" w:rsidP="00D36C98">
      <w:pPr>
        <w:spacing w:after="360"/>
        <w:rPr>
          <w:sz w:val="20"/>
          <w:szCs w:val="20"/>
          <w:lang w:val="sv-SE"/>
        </w:rPr>
      </w:pPr>
      <w:r w:rsidRPr="004A7E6A">
        <w:rPr>
          <w:sz w:val="20"/>
          <w:szCs w:val="20"/>
          <w:lang w:val="sv-SE"/>
        </w:rPr>
        <w:t xml:space="preserve">Prop. 2005/06:160 </w:t>
      </w:r>
      <w:r w:rsidRPr="004A7E6A">
        <w:rPr>
          <w:i/>
          <w:sz w:val="20"/>
          <w:szCs w:val="20"/>
          <w:lang w:val="sv-SE"/>
        </w:rPr>
        <w:t>Moderna transporter</w:t>
      </w:r>
    </w:p>
    <w:p w:rsidR="00A1384E" w:rsidRPr="004A7E6A" w:rsidRDefault="008976A7" w:rsidP="00D36C98">
      <w:pPr>
        <w:spacing w:after="360"/>
        <w:rPr>
          <w:sz w:val="20"/>
          <w:szCs w:val="20"/>
          <w:lang w:val="sv-SE"/>
        </w:rPr>
      </w:pPr>
      <w:r w:rsidRPr="004A7E6A">
        <w:rPr>
          <w:sz w:val="20"/>
          <w:szCs w:val="20"/>
          <w:lang w:val="sv-SE"/>
        </w:rPr>
        <w:t>Prop</w:t>
      </w:r>
      <w:r w:rsidR="004E0AAC" w:rsidRPr="004A7E6A">
        <w:rPr>
          <w:sz w:val="20"/>
          <w:szCs w:val="20"/>
          <w:lang w:val="sv-SE"/>
        </w:rPr>
        <w:t>.</w:t>
      </w:r>
      <w:r w:rsidR="000F44C2" w:rsidRPr="004A7E6A">
        <w:rPr>
          <w:sz w:val="20"/>
          <w:szCs w:val="20"/>
          <w:lang w:val="sv-SE"/>
        </w:rPr>
        <w:t xml:space="preserve"> 2008/09:93 </w:t>
      </w:r>
      <w:r w:rsidR="000F44C2" w:rsidRPr="004A7E6A">
        <w:rPr>
          <w:i/>
          <w:sz w:val="20"/>
          <w:szCs w:val="20"/>
          <w:lang w:val="sv-SE"/>
        </w:rPr>
        <w:t>Mål för framtidens resor och transporter</w:t>
      </w:r>
      <w:r w:rsidR="0037302A" w:rsidRPr="004A7E6A">
        <w:rPr>
          <w:sz w:val="20"/>
          <w:szCs w:val="20"/>
          <w:lang w:val="sv-SE"/>
        </w:rPr>
        <w:t>.</w:t>
      </w:r>
    </w:p>
    <w:p w:rsidR="00066ABD" w:rsidRPr="004A7E6A" w:rsidRDefault="00066ABD" w:rsidP="00D36C98">
      <w:pPr>
        <w:spacing w:after="360"/>
        <w:jc w:val="both"/>
        <w:rPr>
          <w:sz w:val="20"/>
          <w:szCs w:val="20"/>
          <w:lang w:val="sv-SE"/>
        </w:rPr>
      </w:pPr>
    </w:p>
    <w:p w:rsidR="00066ABD" w:rsidRPr="004A7E6A" w:rsidRDefault="00066ABD" w:rsidP="00D36C98">
      <w:pPr>
        <w:pStyle w:val="Title"/>
        <w:spacing w:before="0" w:after="360"/>
        <w:rPr>
          <w:rFonts w:ascii="Times New Roman" w:hAnsi="Times New Roman"/>
          <w:sz w:val="20"/>
          <w:szCs w:val="20"/>
        </w:rPr>
      </w:pPr>
      <w:r w:rsidRPr="004A7E6A">
        <w:rPr>
          <w:rFonts w:ascii="Times New Roman" w:hAnsi="Times New Roman"/>
          <w:sz w:val="20"/>
          <w:szCs w:val="20"/>
        </w:rPr>
        <w:lastRenderedPageBreak/>
        <w:t>Government Reports</w:t>
      </w:r>
    </w:p>
    <w:p w:rsidR="00066ABD" w:rsidRPr="004A7E6A" w:rsidRDefault="008976A7" w:rsidP="00D36C98">
      <w:pPr>
        <w:spacing w:after="360"/>
        <w:rPr>
          <w:sz w:val="20"/>
          <w:szCs w:val="20"/>
          <w:lang w:val="sv-SE"/>
        </w:rPr>
      </w:pPr>
      <w:r w:rsidRPr="004A7E6A">
        <w:rPr>
          <w:sz w:val="20"/>
          <w:szCs w:val="20"/>
          <w:lang w:val="sv-SE"/>
        </w:rPr>
        <w:t>Skr</w:t>
      </w:r>
      <w:r w:rsidR="004E0AAC" w:rsidRPr="004A7E6A">
        <w:rPr>
          <w:sz w:val="20"/>
          <w:szCs w:val="20"/>
          <w:lang w:val="sv-SE"/>
        </w:rPr>
        <w:t>.</w:t>
      </w:r>
      <w:r w:rsidR="00066ABD" w:rsidRPr="004A7E6A">
        <w:rPr>
          <w:sz w:val="20"/>
          <w:szCs w:val="20"/>
          <w:lang w:val="sv-SE"/>
        </w:rPr>
        <w:t xml:space="preserve"> 2002/03:25 </w:t>
      </w:r>
      <w:r w:rsidR="00066ABD" w:rsidRPr="004A7E6A">
        <w:rPr>
          <w:i/>
          <w:sz w:val="20"/>
          <w:szCs w:val="20"/>
          <w:lang w:val="sv-SE"/>
        </w:rPr>
        <w:t>Uppföljning av den Nationella handlingsplanen för handikappolitiken</w:t>
      </w:r>
      <w:r w:rsidR="0037302A" w:rsidRPr="004A7E6A">
        <w:rPr>
          <w:sz w:val="20"/>
          <w:szCs w:val="20"/>
          <w:lang w:val="sv-SE"/>
        </w:rPr>
        <w:t>.</w:t>
      </w:r>
    </w:p>
    <w:p w:rsidR="00066ABD" w:rsidRPr="004A7E6A" w:rsidRDefault="008976A7" w:rsidP="00D36C98">
      <w:pPr>
        <w:spacing w:after="360"/>
        <w:rPr>
          <w:sz w:val="20"/>
          <w:szCs w:val="20"/>
          <w:lang w:val="sv-SE"/>
        </w:rPr>
      </w:pPr>
      <w:r w:rsidRPr="004A7E6A">
        <w:rPr>
          <w:sz w:val="20"/>
          <w:szCs w:val="20"/>
          <w:lang w:val="sv-SE"/>
        </w:rPr>
        <w:t>Skr</w:t>
      </w:r>
      <w:r w:rsidR="004E0AAC" w:rsidRPr="004A7E6A">
        <w:rPr>
          <w:sz w:val="20"/>
          <w:szCs w:val="20"/>
          <w:lang w:val="sv-SE"/>
        </w:rPr>
        <w:t>.</w:t>
      </w:r>
      <w:r w:rsidR="00066ABD" w:rsidRPr="004A7E6A">
        <w:rPr>
          <w:sz w:val="20"/>
          <w:szCs w:val="20"/>
          <w:lang w:val="sv-SE"/>
        </w:rPr>
        <w:t xml:space="preserve"> 2005/06:110 </w:t>
      </w:r>
      <w:r w:rsidR="00066ABD" w:rsidRPr="004A7E6A">
        <w:rPr>
          <w:i/>
          <w:sz w:val="20"/>
          <w:szCs w:val="20"/>
          <w:lang w:val="sv-SE"/>
        </w:rPr>
        <w:t>Uppföljning av den nationella handlingsplanen för handikappolitiken</w:t>
      </w:r>
      <w:r w:rsidR="0037302A" w:rsidRPr="004A7E6A">
        <w:rPr>
          <w:sz w:val="20"/>
          <w:szCs w:val="20"/>
          <w:lang w:val="sv-SE"/>
        </w:rPr>
        <w:t>.</w:t>
      </w:r>
    </w:p>
    <w:p w:rsidR="00066ABD" w:rsidRPr="004A7E6A" w:rsidRDefault="00066ABD" w:rsidP="00D36C98">
      <w:pPr>
        <w:spacing w:after="360"/>
        <w:jc w:val="both"/>
        <w:rPr>
          <w:sz w:val="20"/>
          <w:szCs w:val="20"/>
          <w:lang w:val="sv-SE"/>
        </w:rPr>
      </w:pPr>
    </w:p>
    <w:sectPr w:rsidR="00066ABD" w:rsidRPr="004A7E6A" w:rsidSect="003D440A">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7E2" w:rsidRDefault="001267E2">
      <w:r>
        <w:separator/>
      </w:r>
    </w:p>
  </w:endnote>
  <w:endnote w:type="continuationSeparator" w:id="0">
    <w:p w:rsidR="001267E2" w:rsidRDefault="00126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40A" w:rsidRDefault="003D440A">
    <w:pPr>
      <w:pStyle w:val="Footer"/>
      <w:jc w:val="center"/>
      <w:rPr>
        <w:rFonts w:ascii="Calibri" w:hAnsi="Calibri" w:cs="Calibri"/>
        <w:sz w:val="22"/>
        <w:szCs w:val="22"/>
      </w:rPr>
    </w:pPr>
    <w:r>
      <w:rPr>
        <w:rFonts w:ascii="Calibri" w:hAnsi="Calibri" w:cs="Calibri"/>
        <w:sz w:val="22"/>
        <w:szCs w:val="22"/>
      </w:rPr>
      <w:t>__________________________________________________________________________________</w:t>
    </w:r>
  </w:p>
  <w:p w:rsidR="003D440A" w:rsidRDefault="003D440A">
    <w:pPr>
      <w:pStyle w:val="Footer"/>
      <w:jc w:val="center"/>
      <w:rPr>
        <w:rFonts w:ascii="Calibri" w:hAnsi="Calibri" w:cs="Calibri"/>
        <w:sz w:val="22"/>
        <w:szCs w:val="22"/>
      </w:rPr>
    </w:pPr>
  </w:p>
  <w:p w:rsidR="003D440A" w:rsidRPr="003D440A" w:rsidRDefault="005413CE">
    <w:pPr>
      <w:pStyle w:val="Footer"/>
      <w:jc w:val="center"/>
      <w:rPr>
        <w:rFonts w:ascii="Calibri" w:hAnsi="Calibri" w:cs="Calibri"/>
        <w:sz w:val="22"/>
        <w:szCs w:val="22"/>
      </w:rPr>
    </w:pPr>
    <w:r w:rsidRPr="003D440A">
      <w:rPr>
        <w:rFonts w:ascii="Calibri" w:hAnsi="Calibri" w:cs="Calibri"/>
        <w:sz w:val="22"/>
        <w:szCs w:val="22"/>
      </w:rPr>
      <w:fldChar w:fldCharType="begin"/>
    </w:r>
    <w:r w:rsidR="003D440A" w:rsidRPr="003D440A">
      <w:rPr>
        <w:rFonts w:ascii="Calibri" w:hAnsi="Calibri" w:cs="Calibri"/>
        <w:sz w:val="22"/>
        <w:szCs w:val="22"/>
      </w:rPr>
      <w:instrText xml:space="preserve"> PAGE   \* MERGEFORMAT </w:instrText>
    </w:r>
    <w:r w:rsidRPr="003D440A">
      <w:rPr>
        <w:rFonts w:ascii="Calibri" w:hAnsi="Calibri" w:cs="Calibri"/>
        <w:sz w:val="22"/>
        <w:szCs w:val="22"/>
      </w:rPr>
      <w:fldChar w:fldCharType="separate"/>
    </w:r>
    <w:r w:rsidR="00CD101F">
      <w:rPr>
        <w:rFonts w:ascii="Calibri" w:hAnsi="Calibri" w:cs="Calibri"/>
        <w:noProof/>
        <w:sz w:val="22"/>
        <w:szCs w:val="22"/>
      </w:rPr>
      <w:t>2</w:t>
    </w:r>
    <w:r w:rsidRPr="003D440A">
      <w:rPr>
        <w:rFonts w:ascii="Calibri" w:hAnsi="Calibri" w:cs="Calibri"/>
        <w:sz w:val="22"/>
        <w:szCs w:val="22"/>
      </w:rPr>
      <w:fldChar w:fldCharType="end"/>
    </w:r>
  </w:p>
  <w:p w:rsidR="006C61E7" w:rsidRDefault="006C61E7" w:rsidP="00E0376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40A" w:rsidRDefault="003D440A">
    <w:pPr>
      <w:pStyle w:val="Footer"/>
      <w:jc w:val="center"/>
      <w:rPr>
        <w:rFonts w:ascii="Calibri" w:hAnsi="Calibri" w:cs="Calibri"/>
        <w:sz w:val="22"/>
        <w:szCs w:val="22"/>
      </w:rPr>
    </w:pPr>
    <w:r>
      <w:rPr>
        <w:rFonts w:ascii="Calibri" w:hAnsi="Calibri" w:cs="Calibri"/>
        <w:sz w:val="22"/>
        <w:szCs w:val="22"/>
      </w:rPr>
      <w:t>__________________________________________________________________________________</w:t>
    </w:r>
  </w:p>
  <w:p w:rsidR="003D440A" w:rsidRDefault="003D440A">
    <w:pPr>
      <w:pStyle w:val="Footer"/>
      <w:jc w:val="center"/>
      <w:rPr>
        <w:rFonts w:ascii="Calibri" w:hAnsi="Calibri" w:cs="Calibri"/>
        <w:sz w:val="22"/>
        <w:szCs w:val="22"/>
      </w:rPr>
    </w:pPr>
  </w:p>
  <w:p w:rsidR="003D440A" w:rsidRPr="003D440A" w:rsidRDefault="005413CE">
    <w:pPr>
      <w:pStyle w:val="Footer"/>
      <w:jc w:val="center"/>
      <w:rPr>
        <w:rFonts w:ascii="Calibri" w:hAnsi="Calibri" w:cs="Calibri"/>
        <w:sz w:val="22"/>
        <w:szCs w:val="22"/>
      </w:rPr>
    </w:pPr>
    <w:r w:rsidRPr="003D440A">
      <w:rPr>
        <w:rFonts w:ascii="Calibri" w:hAnsi="Calibri" w:cs="Calibri"/>
        <w:sz w:val="22"/>
        <w:szCs w:val="22"/>
      </w:rPr>
      <w:fldChar w:fldCharType="begin"/>
    </w:r>
    <w:r w:rsidR="003D440A" w:rsidRPr="003D440A">
      <w:rPr>
        <w:rFonts w:ascii="Calibri" w:hAnsi="Calibri" w:cs="Calibri"/>
        <w:sz w:val="22"/>
        <w:szCs w:val="22"/>
      </w:rPr>
      <w:instrText xml:space="preserve"> PAGE   \* MERGEFORMAT </w:instrText>
    </w:r>
    <w:r w:rsidRPr="003D440A">
      <w:rPr>
        <w:rFonts w:ascii="Calibri" w:hAnsi="Calibri" w:cs="Calibri"/>
        <w:sz w:val="22"/>
        <w:szCs w:val="22"/>
      </w:rPr>
      <w:fldChar w:fldCharType="separate"/>
    </w:r>
    <w:r w:rsidR="00CD101F">
      <w:rPr>
        <w:rFonts w:ascii="Calibri" w:hAnsi="Calibri" w:cs="Calibri"/>
        <w:noProof/>
        <w:sz w:val="22"/>
        <w:szCs w:val="22"/>
      </w:rPr>
      <w:t>1</w:t>
    </w:r>
    <w:r w:rsidRPr="003D440A">
      <w:rPr>
        <w:rFonts w:ascii="Calibri" w:hAnsi="Calibri" w:cs="Calibri"/>
        <w:sz w:val="22"/>
        <w:szCs w:val="22"/>
      </w:rPr>
      <w:fldChar w:fldCharType="end"/>
    </w:r>
  </w:p>
  <w:p w:rsidR="006C61E7" w:rsidRDefault="006C61E7" w:rsidP="00E0376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7E2" w:rsidRDefault="001267E2">
      <w:r>
        <w:separator/>
      </w:r>
    </w:p>
  </w:footnote>
  <w:footnote w:type="continuationSeparator" w:id="0">
    <w:p w:rsidR="001267E2" w:rsidRDefault="001267E2">
      <w:r>
        <w:continuationSeparator/>
      </w:r>
    </w:p>
  </w:footnote>
  <w:footnote w:id="1">
    <w:p w:rsidR="00E85A12" w:rsidRPr="00C4579B" w:rsidRDefault="00C4579B">
      <w:pPr>
        <w:pStyle w:val="FootnoteText"/>
        <w:rPr>
          <w:lang w:val="en-GB"/>
        </w:rPr>
      </w:pPr>
      <w:r>
        <w:rPr>
          <w:rStyle w:val="FootnoteReference"/>
        </w:rPr>
        <w:t>*</w:t>
      </w:r>
      <w:r>
        <w:t xml:space="preserve"> </w:t>
      </w:r>
      <w:proofErr w:type="gramStart"/>
      <w:r>
        <w:rPr>
          <w:lang w:val="en-GB"/>
        </w:rPr>
        <w:t>Doctoral Student</w:t>
      </w:r>
      <w:r w:rsidR="004A7E03">
        <w:rPr>
          <w:lang w:val="en-GB"/>
        </w:rPr>
        <w:t>, Law</w:t>
      </w:r>
      <w:r>
        <w:rPr>
          <w:lang w:val="en-GB"/>
        </w:rPr>
        <w:t xml:space="preserve">, </w:t>
      </w:r>
      <w:proofErr w:type="spellStart"/>
      <w:r>
        <w:rPr>
          <w:lang w:val="en-GB"/>
        </w:rPr>
        <w:t>Umeå</w:t>
      </w:r>
      <w:proofErr w:type="spellEnd"/>
      <w:r>
        <w:rPr>
          <w:lang w:val="en-GB"/>
        </w:rPr>
        <w:t xml:space="preserve"> University, Sweden</w:t>
      </w:r>
      <w:r w:rsidR="00E85A12">
        <w:rPr>
          <w:lang w:val="en-GB"/>
        </w:rPr>
        <w:t>.</w:t>
      </w:r>
      <w:proofErr w:type="gramEnd"/>
      <w:r w:rsidR="00FF5610">
        <w:rPr>
          <w:lang w:val="en-GB"/>
        </w:rPr>
        <w:t xml:space="preserve"> </w:t>
      </w:r>
      <w:hyperlink r:id="rId1" w:history="1">
        <w:r w:rsidR="00FF5610" w:rsidRPr="00C56E97">
          <w:rPr>
            <w:rStyle w:val="Hyperlink"/>
            <w:lang w:val="en-GB"/>
          </w:rPr>
          <w:t>andreas.pettersson@jus.umu.se</w:t>
        </w:r>
      </w:hyperlink>
      <w:r w:rsidR="00FF5610">
        <w:rPr>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79B" w:rsidRPr="00815819" w:rsidRDefault="00C4579B" w:rsidP="00815819">
    <w:pPr>
      <w:pStyle w:val="Header"/>
      <w:pBdr>
        <w:bottom w:val="single" w:sz="4" w:space="1" w:color="auto"/>
      </w:pBdr>
      <w:rPr>
        <w:rFonts w:ascii="Calibri" w:hAnsi="Calibri" w:cs="Calibri"/>
        <w:sz w:val="22"/>
        <w:szCs w:val="22"/>
        <w:lang w:val="en-GB"/>
      </w:rPr>
    </w:pPr>
    <w:r w:rsidRPr="00815819">
      <w:rPr>
        <w:rFonts w:ascii="Calibri" w:hAnsi="Calibri" w:cs="Calibri"/>
        <w:sz w:val="22"/>
        <w:szCs w:val="22"/>
        <w:lang w:val="en-GB"/>
      </w:rPr>
      <w:t xml:space="preserve">Pettersson </w:t>
    </w:r>
    <w:r w:rsidRPr="00815819">
      <w:rPr>
        <w:rFonts w:ascii="Calibri" w:hAnsi="Calibri" w:cs="Calibri"/>
        <w:sz w:val="22"/>
        <w:szCs w:val="22"/>
        <w:lang w:val="en-GB"/>
      </w:rPr>
      <w:tab/>
    </w:r>
    <w:r w:rsidRPr="00815819">
      <w:rPr>
        <w:rFonts w:ascii="Calibri" w:hAnsi="Calibri" w:cs="Calibri"/>
        <w:sz w:val="22"/>
        <w:szCs w:val="22"/>
        <w:lang w:val="en-GB"/>
      </w:rPr>
      <w:tab/>
      <w:t xml:space="preserve">Power and Normality in </w:t>
    </w:r>
    <w:proofErr w:type="spellStart"/>
    <w:r w:rsidRPr="00815819">
      <w:rPr>
        <w:rFonts w:ascii="Calibri" w:hAnsi="Calibri" w:cs="Calibri"/>
        <w:sz w:val="22"/>
        <w:szCs w:val="22"/>
        <w:lang w:val="en-GB"/>
      </w:rPr>
      <w:t>Paratransit</w:t>
    </w:r>
    <w:proofErr w:type="spellEnd"/>
  </w:p>
  <w:p w:rsidR="00815819" w:rsidRPr="00815819" w:rsidRDefault="00815819" w:rsidP="00815819">
    <w:pPr>
      <w:pStyle w:val="Header"/>
      <w:pBdr>
        <w:bottom w:val="single" w:sz="4" w:space="1" w:color="auto"/>
      </w:pBdr>
      <w:rPr>
        <w:rFonts w:ascii="Calibri" w:hAnsi="Calibri" w:cs="Calibri"/>
        <w:sz w:val="22"/>
        <w:szCs w:val="22"/>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1E7" w:rsidRPr="00815819" w:rsidRDefault="00C4579B" w:rsidP="00815819">
    <w:pPr>
      <w:pStyle w:val="Header"/>
      <w:pBdr>
        <w:bottom w:val="single" w:sz="4" w:space="1" w:color="auto"/>
      </w:pBdr>
      <w:rPr>
        <w:rFonts w:ascii="Calibri" w:hAnsi="Calibri" w:cs="Calibri"/>
        <w:sz w:val="22"/>
        <w:szCs w:val="22"/>
        <w:lang w:val="en-GB"/>
      </w:rPr>
    </w:pPr>
    <w:proofErr w:type="spellStart"/>
    <w:r w:rsidRPr="00815819">
      <w:rPr>
        <w:rFonts w:ascii="Calibri" w:hAnsi="Calibri" w:cs="Calibri"/>
        <w:i/>
        <w:sz w:val="22"/>
        <w:szCs w:val="22"/>
        <w:lang w:val="en-GB"/>
      </w:rPr>
      <w:t>feminists@law</w:t>
    </w:r>
    <w:proofErr w:type="spellEnd"/>
    <w:r w:rsidR="003D440A">
      <w:rPr>
        <w:rFonts w:ascii="Calibri" w:hAnsi="Calibri" w:cs="Calibri"/>
        <w:sz w:val="22"/>
        <w:szCs w:val="22"/>
        <w:lang w:val="en-GB"/>
      </w:rPr>
      <w:t xml:space="preserve"> </w:t>
    </w:r>
    <w:r w:rsidR="003D440A">
      <w:rPr>
        <w:rFonts w:ascii="Calibri" w:hAnsi="Calibri" w:cs="Calibri"/>
        <w:sz w:val="22"/>
        <w:szCs w:val="22"/>
        <w:lang w:val="en-GB"/>
      </w:rPr>
      <w:tab/>
    </w:r>
    <w:r w:rsidR="003D440A">
      <w:rPr>
        <w:rFonts w:ascii="Calibri" w:hAnsi="Calibri" w:cs="Calibri"/>
        <w:sz w:val="22"/>
        <w:szCs w:val="22"/>
        <w:lang w:val="en-GB"/>
      </w:rPr>
      <w:tab/>
    </w:r>
    <w:proofErr w:type="spellStart"/>
    <w:r w:rsidR="003D440A">
      <w:rPr>
        <w:rFonts w:ascii="Calibri" w:hAnsi="Calibri" w:cs="Calibri"/>
        <w:sz w:val="22"/>
        <w:szCs w:val="22"/>
        <w:lang w:val="en-GB"/>
      </w:rPr>
      <w:t>Vol</w:t>
    </w:r>
    <w:proofErr w:type="spellEnd"/>
    <w:r w:rsidR="003D440A">
      <w:rPr>
        <w:rFonts w:ascii="Calibri" w:hAnsi="Calibri" w:cs="Calibri"/>
        <w:sz w:val="22"/>
        <w:szCs w:val="22"/>
        <w:lang w:val="en-GB"/>
      </w:rPr>
      <w:t xml:space="preserve"> 2, No 1</w:t>
    </w:r>
    <w:r w:rsidRPr="00815819">
      <w:rPr>
        <w:rFonts w:ascii="Calibri" w:hAnsi="Calibri" w:cs="Calibri"/>
        <w:sz w:val="22"/>
        <w:szCs w:val="22"/>
        <w:lang w:val="en-GB"/>
      </w:rPr>
      <w:t xml:space="preserve"> (2012)</w:t>
    </w:r>
  </w:p>
  <w:p w:rsidR="00815819" w:rsidRPr="00815819" w:rsidRDefault="00815819" w:rsidP="00815819">
    <w:pPr>
      <w:pStyle w:val="Header"/>
      <w:pBdr>
        <w:bottom w:val="single" w:sz="4" w:space="1" w:color="auto"/>
      </w:pBdr>
      <w:rPr>
        <w:rFonts w:ascii="Calibri" w:hAnsi="Calibri" w:cs="Calibri"/>
        <w:sz w:val="22"/>
        <w:szCs w:val="22"/>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D234B"/>
    <w:multiLevelType w:val="hybridMultilevel"/>
    <w:tmpl w:val="F1B0A71A"/>
    <w:lvl w:ilvl="0" w:tplc="0FF6D5CE">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evenAndOddHeaders/>
  <w:characterSpacingControl w:val="doNotCompress"/>
  <w:hdrShapeDefaults>
    <o:shapedefaults v:ext="edit" spidmax="4097"/>
  </w:hdrShapeDefaults>
  <w:footnotePr>
    <w:footnote w:id="-1"/>
    <w:footnote w:id="0"/>
  </w:footnotePr>
  <w:endnotePr>
    <w:endnote w:id="-1"/>
    <w:endnote w:id="0"/>
  </w:endnotePr>
  <w:compat/>
  <w:rsids>
    <w:rsidRoot w:val="00E0376D"/>
    <w:rsid w:val="00000FF7"/>
    <w:rsid w:val="00003839"/>
    <w:rsid w:val="000050B1"/>
    <w:rsid w:val="000065D4"/>
    <w:rsid w:val="00006911"/>
    <w:rsid w:val="00012534"/>
    <w:rsid w:val="00013BFE"/>
    <w:rsid w:val="0001411D"/>
    <w:rsid w:val="000152DC"/>
    <w:rsid w:val="00022643"/>
    <w:rsid w:val="000240A4"/>
    <w:rsid w:val="00025D24"/>
    <w:rsid w:val="00027211"/>
    <w:rsid w:val="000309B4"/>
    <w:rsid w:val="00040649"/>
    <w:rsid w:val="000415EF"/>
    <w:rsid w:val="0004451E"/>
    <w:rsid w:val="00044DAA"/>
    <w:rsid w:val="00045DBD"/>
    <w:rsid w:val="000472ED"/>
    <w:rsid w:val="000546F2"/>
    <w:rsid w:val="000561E4"/>
    <w:rsid w:val="00060954"/>
    <w:rsid w:val="00061AD4"/>
    <w:rsid w:val="0006335D"/>
    <w:rsid w:val="00065714"/>
    <w:rsid w:val="00065BEA"/>
    <w:rsid w:val="0006619D"/>
    <w:rsid w:val="0006678C"/>
    <w:rsid w:val="00066ABD"/>
    <w:rsid w:val="00070358"/>
    <w:rsid w:val="00071413"/>
    <w:rsid w:val="00071DF7"/>
    <w:rsid w:val="00073192"/>
    <w:rsid w:val="0007476D"/>
    <w:rsid w:val="0007561B"/>
    <w:rsid w:val="000877B6"/>
    <w:rsid w:val="000903E1"/>
    <w:rsid w:val="00092E56"/>
    <w:rsid w:val="00093145"/>
    <w:rsid w:val="00093396"/>
    <w:rsid w:val="00093737"/>
    <w:rsid w:val="000941AC"/>
    <w:rsid w:val="00094A24"/>
    <w:rsid w:val="000A04EA"/>
    <w:rsid w:val="000A2CC3"/>
    <w:rsid w:val="000A47F2"/>
    <w:rsid w:val="000A54A8"/>
    <w:rsid w:val="000A73B0"/>
    <w:rsid w:val="000B25B5"/>
    <w:rsid w:val="000B52B2"/>
    <w:rsid w:val="000B5368"/>
    <w:rsid w:val="000B613D"/>
    <w:rsid w:val="000B6978"/>
    <w:rsid w:val="000C348B"/>
    <w:rsid w:val="000C40AD"/>
    <w:rsid w:val="000C4768"/>
    <w:rsid w:val="000C6C46"/>
    <w:rsid w:val="000D3A1F"/>
    <w:rsid w:val="000D4BAD"/>
    <w:rsid w:val="000D54CA"/>
    <w:rsid w:val="000D6BB2"/>
    <w:rsid w:val="000E06F9"/>
    <w:rsid w:val="000E29E5"/>
    <w:rsid w:val="000E4835"/>
    <w:rsid w:val="000F44C2"/>
    <w:rsid w:val="0010117A"/>
    <w:rsid w:val="00111642"/>
    <w:rsid w:val="00120B9D"/>
    <w:rsid w:val="00121CE3"/>
    <w:rsid w:val="00122597"/>
    <w:rsid w:val="00124F53"/>
    <w:rsid w:val="001255A5"/>
    <w:rsid w:val="0012578D"/>
    <w:rsid w:val="001267E2"/>
    <w:rsid w:val="0013121B"/>
    <w:rsid w:val="00132395"/>
    <w:rsid w:val="0013552D"/>
    <w:rsid w:val="00145B08"/>
    <w:rsid w:val="00145EA9"/>
    <w:rsid w:val="00153A6E"/>
    <w:rsid w:val="001568E8"/>
    <w:rsid w:val="00157940"/>
    <w:rsid w:val="0016004D"/>
    <w:rsid w:val="00161727"/>
    <w:rsid w:val="001627A5"/>
    <w:rsid w:val="00162FA2"/>
    <w:rsid w:val="001632F8"/>
    <w:rsid w:val="001651CE"/>
    <w:rsid w:val="001677BE"/>
    <w:rsid w:val="0016789F"/>
    <w:rsid w:val="00167F73"/>
    <w:rsid w:val="001733BF"/>
    <w:rsid w:val="00176003"/>
    <w:rsid w:val="00176467"/>
    <w:rsid w:val="00181767"/>
    <w:rsid w:val="00186B31"/>
    <w:rsid w:val="00187217"/>
    <w:rsid w:val="00190A42"/>
    <w:rsid w:val="001935D7"/>
    <w:rsid w:val="001951C6"/>
    <w:rsid w:val="00196975"/>
    <w:rsid w:val="00197C72"/>
    <w:rsid w:val="001A033B"/>
    <w:rsid w:val="001A0B26"/>
    <w:rsid w:val="001A2736"/>
    <w:rsid w:val="001A30CC"/>
    <w:rsid w:val="001A4552"/>
    <w:rsid w:val="001A4A15"/>
    <w:rsid w:val="001A73C3"/>
    <w:rsid w:val="001B0C65"/>
    <w:rsid w:val="001B4D7F"/>
    <w:rsid w:val="001C2D56"/>
    <w:rsid w:val="001C4BA9"/>
    <w:rsid w:val="001C5A1C"/>
    <w:rsid w:val="001D2542"/>
    <w:rsid w:val="001D3A5C"/>
    <w:rsid w:val="001E0F3E"/>
    <w:rsid w:val="001E3C1A"/>
    <w:rsid w:val="001E430F"/>
    <w:rsid w:val="001E4DB6"/>
    <w:rsid w:val="001E5371"/>
    <w:rsid w:val="001E57D9"/>
    <w:rsid w:val="001E7A6C"/>
    <w:rsid w:val="001F16A3"/>
    <w:rsid w:val="001F21D0"/>
    <w:rsid w:val="001F2CD2"/>
    <w:rsid w:val="001F427B"/>
    <w:rsid w:val="001F42FE"/>
    <w:rsid w:val="001F47DE"/>
    <w:rsid w:val="001F6358"/>
    <w:rsid w:val="00201686"/>
    <w:rsid w:val="00201B56"/>
    <w:rsid w:val="002028FF"/>
    <w:rsid w:val="00206AFC"/>
    <w:rsid w:val="0020745F"/>
    <w:rsid w:val="00210581"/>
    <w:rsid w:val="00210EAA"/>
    <w:rsid w:val="00211203"/>
    <w:rsid w:val="002124B7"/>
    <w:rsid w:val="002220D6"/>
    <w:rsid w:val="00222896"/>
    <w:rsid w:val="0022309F"/>
    <w:rsid w:val="002233BC"/>
    <w:rsid w:val="00225B5D"/>
    <w:rsid w:val="002276EB"/>
    <w:rsid w:val="00230DD3"/>
    <w:rsid w:val="00232334"/>
    <w:rsid w:val="002400C3"/>
    <w:rsid w:val="002410FB"/>
    <w:rsid w:val="00242157"/>
    <w:rsid w:val="002432EE"/>
    <w:rsid w:val="00244ACB"/>
    <w:rsid w:val="00246B1C"/>
    <w:rsid w:val="00246BA1"/>
    <w:rsid w:val="00254782"/>
    <w:rsid w:val="0026324E"/>
    <w:rsid w:val="00263EC9"/>
    <w:rsid w:val="00265A5E"/>
    <w:rsid w:val="0026711C"/>
    <w:rsid w:val="00277333"/>
    <w:rsid w:val="0028162A"/>
    <w:rsid w:val="00284167"/>
    <w:rsid w:val="0028580F"/>
    <w:rsid w:val="00286B67"/>
    <w:rsid w:val="00293D3B"/>
    <w:rsid w:val="002A66D5"/>
    <w:rsid w:val="002B2066"/>
    <w:rsid w:val="002B2FEE"/>
    <w:rsid w:val="002B47DC"/>
    <w:rsid w:val="002B4EFE"/>
    <w:rsid w:val="002B6B25"/>
    <w:rsid w:val="002B7DC5"/>
    <w:rsid w:val="002C2E51"/>
    <w:rsid w:val="002C381A"/>
    <w:rsid w:val="002C648A"/>
    <w:rsid w:val="002D2A70"/>
    <w:rsid w:val="002D5FB2"/>
    <w:rsid w:val="002E2DF0"/>
    <w:rsid w:val="002E50A2"/>
    <w:rsid w:val="002E5C38"/>
    <w:rsid w:val="002E62E3"/>
    <w:rsid w:val="002E6CD4"/>
    <w:rsid w:val="002F127B"/>
    <w:rsid w:val="002F1823"/>
    <w:rsid w:val="002F252F"/>
    <w:rsid w:val="002F5B1E"/>
    <w:rsid w:val="002F5D91"/>
    <w:rsid w:val="002F75F3"/>
    <w:rsid w:val="002F79D8"/>
    <w:rsid w:val="00307601"/>
    <w:rsid w:val="00310DBF"/>
    <w:rsid w:val="00310EFE"/>
    <w:rsid w:val="003147A5"/>
    <w:rsid w:val="00314DAD"/>
    <w:rsid w:val="00315846"/>
    <w:rsid w:val="00320049"/>
    <w:rsid w:val="003209E5"/>
    <w:rsid w:val="0032283C"/>
    <w:rsid w:val="00322D2D"/>
    <w:rsid w:val="00330DEA"/>
    <w:rsid w:val="0033218C"/>
    <w:rsid w:val="00332538"/>
    <w:rsid w:val="00334719"/>
    <w:rsid w:val="003350D0"/>
    <w:rsid w:val="00335FD5"/>
    <w:rsid w:val="00337733"/>
    <w:rsid w:val="00340903"/>
    <w:rsid w:val="00341AA2"/>
    <w:rsid w:val="00343301"/>
    <w:rsid w:val="00344396"/>
    <w:rsid w:val="003469BC"/>
    <w:rsid w:val="003470ED"/>
    <w:rsid w:val="00351813"/>
    <w:rsid w:val="00351B87"/>
    <w:rsid w:val="003523FA"/>
    <w:rsid w:val="003525DA"/>
    <w:rsid w:val="003548BF"/>
    <w:rsid w:val="003561AE"/>
    <w:rsid w:val="00361EB2"/>
    <w:rsid w:val="003639A1"/>
    <w:rsid w:val="003667D8"/>
    <w:rsid w:val="00367C71"/>
    <w:rsid w:val="0037302A"/>
    <w:rsid w:val="00375657"/>
    <w:rsid w:val="0038055F"/>
    <w:rsid w:val="00381FE1"/>
    <w:rsid w:val="0038273C"/>
    <w:rsid w:val="003841CC"/>
    <w:rsid w:val="0038737B"/>
    <w:rsid w:val="00390B8A"/>
    <w:rsid w:val="00392B7B"/>
    <w:rsid w:val="003969D2"/>
    <w:rsid w:val="003979F4"/>
    <w:rsid w:val="00397DDC"/>
    <w:rsid w:val="003A2AF0"/>
    <w:rsid w:val="003A6282"/>
    <w:rsid w:val="003A6FEA"/>
    <w:rsid w:val="003B124E"/>
    <w:rsid w:val="003B2515"/>
    <w:rsid w:val="003B6379"/>
    <w:rsid w:val="003B78F1"/>
    <w:rsid w:val="003C0475"/>
    <w:rsid w:val="003C3925"/>
    <w:rsid w:val="003C5CB6"/>
    <w:rsid w:val="003C7B46"/>
    <w:rsid w:val="003D440A"/>
    <w:rsid w:val="003D54AC"/>
    <w:rsid w:val="003D5BB0"/>
    <w:rsid w:val="003D7036"/>
    <w:rsid w:val="003E00AA"/>
    <w:rsid w:val="003E153A"/>
    <w:rsid w:val="003E7B68"/>
    <w:rsid w:val="003F0CC1"/>
    <w:rsid w:val="003F36BF"/>
    <w:rsid w:val="003F4219"/>
    <w:rsid w:val="003F4878"/>
    <w:rsid w:val="003F54DD"/>
    <w:rsid w:val="003F5898"/>
    <w:rsid w:val="00406F3D"/>
    <w:rsid w:val="004117F5"/>
    <w:rsid w:val="00413D8B"/>
    <w:rsid w:val="004151F4"/>
    <w:rsid w:val="0041602C"/>
    <w:rsid w:val="00416654"/>
    <w:rsid w:val="00423C40"/>
    <w:rsid w:val="00427021"/>
    <w:rsid w:val="0043012A"/>
    <w:rsid w:val="0043025E"/>
    <w:rsid w:val="00430393"/>
    <w:rsid w:val="00430517"/>
    <w:rsid w:val="00435E2A"/>
    <w:rsid w:val="00436B65"/>
    <w:rsid w:val="00441F38"/>
    <w:rsid w:val="00442F27"/>
    <w:rsid w:val="0045202B"/>
    <w:rsid w:val="00454420"/>
    <w:rsid w:val="004557AD"/>
    <w:rsid w:val="004642B0"/>
    <w:rsid w:val="00465473"/>
    <w:rsid w:val="00465C24"/>
    <w:rsid w:val="00465DF0"/>
    <w:rsid w:val="00471058"/>
    <w:rsid w:val="00472F95"/>
    <w:rsid w:val="004817D0"/>
    <w:rsid w:val="0048730D"/>
    <w:rsid w:val="004910A7"/>
    <w:rsid w:val="004925E1"/>
    <w:rsid w:val="00493D7B"/>
    <w:rsid w:val="00494498"/>
    <w:rsid w:val="00496BF5"/>
    <w:rsid w:val="004A217F"/>
    <w:rsid w:val="004A6A02"/>
    <w:rsid w:val="004A7E03"/>
    <w:rsid w:val="004A7E6A"/>
    <w:rsid w:val="004B03EC"/>
    <w:rsid w:val="004B0EE5"/>
    <w:rsid w:val="004B162B"/>
    <w:rsid w:val="004B2D21"/>
    <w:rsid w:val="004B3EA1"/>
    <w:rsid w:val="004B455A"/>
    <w:rsid w:val="004B59C8"/>
    <w:rsid w:val="004B7C1B"/>
    <w:rsid w:val="004B7F49"/>
    <w:rsid w:val="004C05E0"/>
    <w:rsid w:val="004C0E7E"/>
    <w:rsid w:val="004C4E03"/>
    <w:rsid w:val="004C6527"/>
    <w:rsid w:val="004D06B8"/>
    <w:rsid w:val="004D141E"/>
    <w:rsid w:val="004D2F7E"/>
    <w:rsid w:val="004D53C0"/>
    <w:rsid w:val="004D6D48"/>
    <w:rsid w:val="004D7C3C"/>
    <w:rsid w:val="004E01D6"/>
    <w:rsid w:val="004E0AAC"/>
    <w:rsid w:val="004E2F31"/>
    <w:rsid w:val="004E5F5A"/>
    <w:rsid w:val="004F17C9"/>
    <w:rsid w:val="004F4496"/>
    <w:rsid w:val="004F6DFC"/>
    <w:rsid w:val="0050127D"/>
    <w:rsid w:val="00502B44"/>
    <w:rsid w:val="0050550B"/>
    <w:rsid w:val="0050594A"/>
    <w:rsid w:val="00505C8D"/>
    <w:rsid w:val="00506573"/>
    <w:rsid w:val="00511CB6"/>
    <w:rsid w:val="00512CEC"/>
    <w:rsid w:val="005134B0"/>
    <w:rsid w:val="0051397C"/>
    <w:rsid w:val="00514A84"/>
    <w:rsid w:val="00517901"/>
    <w:rsid w:val="00521C95"/>
    <w:rsid w:val="00522E77"/>
    <w:rsid w:val="0052661E"/>
    <w:rsid w:val="005323FF"/>
    <w:rsid w:val="00533D18"/>
    <w:rsid w:val="00535BC3"/>
    <w:rsid w:val="00536F42"/>
    <w:rsid w:val="005413CE"/>
    <w:rsid w:val="00542085"/>
    <w:rsid w:val="00543C61"/>
    <w:rsid w:val="00552CEB"/>
    <w:rsid w:val="005545AA"/>
    <w:rsid w:val="0055508D"/>
    <w:rsid w:val="00555446"/>
    <w:rsid w:val="0056065E"/>
    <w:rsid w:val="005616F6"/>
    <w:rsid w:val="0056246E"/>
    <w:rsid w:val="00564FCA"/>
    <w:rsid w:val="00566477"/>
    <w:rsid w:val="00566720"/>
    <w:rsid w:val="00566C39"/>
    <w:rsid w:val="00574B22"/>
    <w:rsid w:val="00575464"/>
    <w:rsid w:val="005762BC"/>
    <w:rsid w:val="00576C50"/>
    <w:rsid w:val="005829DE"/>
    <w:rsid w:val="00583223"/>
    <w:rsid w:val="00584D4A"/>
    <w:rsid w:val="00591C04"/>
    <w:rsid w:val="005945A0"/>
    <w:rsid w:val="005A0234"/>
    <w:rsid w:val="005B2220"/>
    <w:rsid w:val="005B4744"/>
    <w:rsid w:val="005B7BE1"/>
    <w:rsid w:val="005C332C"/>
    <w:rsid w:val="005C46FC"/>
    <w:rsid w:val="005C470F"/>
    <w:rsid w:val="005C59FF"/>
    <w:rsid w:val="005D596A"/>
    <w:rsid w:val="005E061D"/>
    <w:rsid w:val="005E2C44"/>
    <w:rsid w:val="005E3CC2"/>
    <w:rsid w:val="005E5B53"/>
    <w:rsid w:val="005F0EF8"/>
    <w:rsid w:val="005F4CE2"/>
    <w:rsid w:val="005F63CD"/>
    <w:rsid w:val="005F6E73"/>
    <w:rsid w:val="00601465"/>
    <w:rsid w:val="0060236E"/>
    <w:rsid w:val="00605B76"/>
    <w:rsid w:val="006063F7"/>
    <w:rsid w:val="006100C3"/>
    <w:rsid w:val="006113D6"/>
    <w:rsid w:val="00615817"/>
    <w:rsid w:val="00620EDC"/>
    <w:rsid w:val="00621646"/>
    <w:rsid w:val="00621BB6"/>
    <w:rsid w:val="00623F77"/>
    <w:rsid w:val="006259AE"/>
    <w:rsid w:val="006265C1"/>
    <w:rsid w:val="0062733E"/>
    <w:rsid w:val="006313F0"/>
    <w:rsid w:val="006331C6"/>
    <w:rsid w:val="006402C1"/>
    <w:rsid w:val="0064035F"/>
    <w:rsid w:val="006419CC"/>
    <w:rsid w:val="0064444D"/>
    <w:rsid w:val="00644946"/>
    <w:rsid w:val="00647D75"/>
    <w:rsid w:val="00650528"/>
    <w:rsid w:val="00650A2C"/>
    <w:rsid w:val="00650A5A"/>
    <w:rsid w:val="00654067"/>
    <w:rsid w:val="006562E1"/>
    <w:rsid w:val="00664A93"/>
    <w:rsid w:val="00664E12"/>
    <w:rsid w:val="00671830"/>
    <w:rsid w:val="00673358"/>
    <w:rsid w:val="00675313"/>
    <w:rsid w:val="00685F76"/>
    <w:rsid w:val="00686069"/>
    <w:rsid w:val="00691186"/>
    <w:rsid w:val="00692AF0"/>
    <w:rsid w:val="006932E4"/>
    <w:rsid w:val="0069512C"/>
    <w:rsid w:val="0069707C"/>
    <w:rsid w:val="006A06FC"/>
    <w:rsid w:val="006A084C"/>
    <w:rsid w:val="006A3436"/>
    <w:rsid w:val="006A51ED"/>
    <w:rsid w:val="006A588C"/>
    <w:rsid w:val="006A6E12"/>
    <w:rsid w:val="006B002E"/>
    <w:rsid w:val="006B1C7C"/>
    <w:rsid w:val="006B2259"/>
    <w:rsid w:val="006B2C5D"/>
    <w:rsid w:val="006B2D91"/>
    <w:rsid w:val="006B4061"/>
    <w:rsid w:val="006B6146"/>
    <w:rsid w:val="006B71A3"/>
    <w:rsid w:val="006C0C21"/>
    <w:rsid w:val="006C17C3"/>
    <w:rsid w:val="006C2574"/>
    <w:rsid w:val="006C3D65"/>
    <w:rsid w:val="006C61E7"/>
    <w:rsid w:val="006C7281"/>
    <w:rsid w:val="006D05CB"/>
    <w:rsid w:val="006D530F"/>
    <w:rsid w:val="006D5C32"/>
    <w:rsid w:val="006D7B8E"/>
    <w:rsid w:val="006E06AE"/>
    <w:rsid w:val="006E1526"/>
    <w:rsid w:val="006E259E"/>
    <w:rsid w:val="006E2A2E"/>
    <w:rsid w:val="006E3C44"/>
    <w:rsid w:val="006E44FA"/>
    <w:rsid w:val="006F0725"/>
    <w:rsid w:val="006F147A"/>
    <w:rsid w:val="006F2E3B"/>
    <w:rsid w:val="006F62C1"/>
    <w:rsid w:val="006F7135"/>
    <w:rsid w:val="00701B93"/>
    <w:rsid w:val="00703908"/>
    <w:rsid w:val="00704753"/>
    <w:rsid w:val="00706178"/>
    <w:rsid w:val="00707E27"/>
    <w:rsid w:val="00710C3A"/>
    <w:rsid w:val="00716C60"/>
    <w:rsid w:val="007175E6"/>
    <w:rsid w:val="00720DC9"/>
    <w:rsid w:val="00721A2D"/>
    <w:rsid w:val="00724552"/>
    <w:rsid w:val="0072767E"/>
    <w:rsid w:val="00727CA2"/>
    <w:rsid w:val="007334F9"/>
    <w:rsid w:val="0073387F"/>
    <w:rsid w:val="00733FCA"/>
    <w:rsid w:val="007371E1"/>
    <w:rsid w:val="00743142"/>
    <w:rsid w:val="007445B2"/>
    <w:rsid w:val="00746335"/>
    <w:rsid w:val="00753556"/>
    <w:rsid w:val="00760FEF"/>
    <w:rsid w:val="00761F18"/>
    <w:rsid w:val="00764F97"/>
    <w:rsid w:val="00765F29"/>
    <w:rsid w:val="00766363"/>
    <w:rsid w:val="00772BEB"/>
    <w:rsid w:val="0077465A"/>
    <w:rsid w:val="00774C13"/>
    <w:rsid w:val="00774E7E"/>
    <w:rsid w:val="00776347"/>
    <w:rsid w:val="00776B4B"/>
    <w:rsid w:val="00777291"/>
    <w:rsid w:val="007801C8"/>
    <w:rsid w:val="00782128"/>
    <w:rsid w:val="00787215"/>
    <w:rsid w:val="00794575"/>
    <w:rsid w:val="007A5A74"/>
    <w:rsid w:val="007B050D"/>
    <w:rsid w:val="007B21D4"/>
    <w:rsid w:val="007B29F8"/>
    <w:rsid w:val="007B472F"/>
    <w:rsid w:val="007B47A7"/>
    <w:rsid w:val="007B61AF"/>
    <w:rsid w:val="007B77C3"/>
    <w:rsid w:val="007D08FD"/>
    <w:rsid w:val="007D4258"/>
    <w:rsid w:val="007D5CCA"/>
    <w:rsid w:val="007D5DEC"/>
    <w:rsid w:val="007D64D8"/>
    <w:rsid w:val="007D7F3B"/>
    <w:rsid w:val="007E0CC7"/>
    <w:rsid w:val="007E14EF"/>
    <w:rsid w:val="007F1FAB"/>
    <w:rsid w:val="007F2B63"/>
    <w:rsid w:val="007F37A3"/>
    <w:rsid w:val="007F6EF3"/>
    <w:rsid w:val="007F7619"/>
    <w:rsid w:val="007F781A"/>
    <w:rsid w:val="0080031B"/>
    <w:rsid w:val="00802A9C"/>
    <w:rsid w:val="00804F36"/>
    <w:rsid w:val="00805535"/>
    <w:rsid w:val="00807739"/>
    <w:rsid w:val="00811327"/>
    <w:rsid w:val="00815819"/>
    <w:rsid w:val="0081742F"/>
    <w:rsid w:val="00820567"/>
    <w:rsid w:val="00822BE1"/>
    <w:rsid w:val="00823BBF"/>
    <w:rsid w:val="00823C89"/>
    <w:rsid w:val="00824245"/>
    <w:rsid w:val="00827722"/>
    <w:rsid w:val="00830F8C"/>
    <w:rsid w:val="00833847"/>
    <w:rsid w:val="00836979"/>
    <w:rsid w:val="008420DD"/>
    <w:rsid w:val="00842C5C"/>
    <w:rsid w:val="0084519C"/>
    <w:rsid w:val="00853E26"/>
    <w:rsid w:val="00854322"/>
    <w:rsid w:val="00856CB8"/>
    <w:rsid w:val="008602D8"/>
    <w:rsid w:val="00863AFF"/>
    <w:rsid w:val="008648DB"/>
    <w:rsid w:val="00866922"/>
    <w:rsid w:val="00867472"/>
    <w:rsid w:val="00872DCB"/>
    <w:rsid w:val="00875D60"/>
    <w:rsid w:val="00877439"/>
    <w:rsid w:val="00880101"/>
    <w:rsid w:val="00881C67"/>
    <w:rsid w:val="0088231E"/>
    <w:rsid w:val="00884AD4"/>
    <w:rsid w:val="00886999"/>
    <w:rsid w:val="008900B1"/>
    <w:rsid w:val="00891692"/>
    <w:rsid w:val="0089178C"/>
    <w:rsid w:val="0089214F"/>
    <w:rsid w:val="00893AC3"/>
    <w:rsid w:val="00894939"/>
    <w:rsid w:val="00895CC3"/>
    <w:rsid w:val="008976A7"/>
    <w:rsid w:val="008A0857"/>
    <w:rsid w:val="008A4611"/>
    <w:rsid w:val="008A617B"/>
    <w:rsid w:val="008B3637"/>
    <w:rsid w:val="008B7494"/>
    <w:rsid w:val="008C2A9B"/>
    <w:rsid w:val="008C4018"/>
    <w:rsid w:val="008D015B"/>
    <w:rsid w:val="008D0243"/>
    <w:rsid w:val="008D4C4D"/>
    <w:rsid w:val="008D5332"/>
    <w:rsid w:val="008E483D"/>
    <w:rsid w:val="008E556B"/>
    <w:rsid w:val="008E587A"/>
    <w:rsid w:val="008F492A"/>
    <w:rsid w:val="008F787A"/>
    <w:rsid w:val="00900112"/>
    <w:rsid w:val="00901808"/>
    <w:rsid w:val="00905A81"/>
    <w:rsid w:val="00912D42"/>
    <w:rsid w:val="0091392C"/>
    <w:rsid w:val="00930ACC"/>
    <w:rsid w:val="00932480"/>
    <w:rsid w:val="00935E2E"/>
    <w:rsid w:val="00937736"/>
    <w:rsid w:val="00941D76"/>
    <w:rsid w:val="009461ED"/>
    <w:rsid w:val="009522A2"/>
    <w:rsid w:val="009537F2"/>
    <w:rsid w:val="009567E1"/>
    <w:rsid w:val="00960760"/>
    <w:rsid w:val="0096250B"/>
    <w:rsid w:val="0096391B"/>
    <w:rsid w:val="00963C1A"/>
    <w:rsid w:val="0096547C"/>
    <w:rsid w:val="0096626F"/>
    <w:rsid w:val="009674A8"/>
    <w:rsid w:val="009674AD"/>
    <w:rsid w:val="009729D1"/>
    <w:rsid w:val="0097495C"/>
    <w:rsid w:val="0098084F"/>
    <w:rsid w:val="00987390"/>
    <w:rsid w:val="009908D9"/>
    <w:rsid w:val="00990B32"/>
    <w:rsid w:val="00995D49"/>
    <w:rsid w:val="009A2EC3"/>
    <w:rsid w:val="009A49A3"/>
    <w:rsid w:val="009A4E85"/>
    <w:rsid w:val="009A692B"/>
    <w:rsid w:val="009A7229"/>
    <w:rsid w:val="009A784A"/>
    <w:rsid w:val="009A7924"/>
    <w:rsid w:val="009B5B47"/>
    <w:rsid w:val="009B6AB4"/>
    <w:rsid w:val="009B7BFA"/>
    <w:rsid w:val="009C018A"/>
    <w:rsid w:val="009C1B63"/>
    <w:rsid w:val="009D0B1A"/>
    <w:rsid w:val="009D252B"/>
    <w:rsid w:val="009D50AB"/>
    <w:rsid w:val="009E0DA7"/>
    <w:rsid w:val="009E2D54"/>
    <w:rsid w:val="009E457C"/>
    <w:rsid w:val="009E6792"/>
    <w:rsid w:val="009E7DB7"/>
    <w:rsid w:val="009F2FED"/>
    <w:rsid w:val="009F3935"/>
    <w:rsid w:val="009F5775"/>
    <w:rsid w:val="00A06BE1"/>
    <w:rsid w:val="00A107FF"/>
    <w:rsid w:val="00A1384E"/>
    <w:rsid w:val="00A1759F"/>
    <w:rsid w:val="00A201F4"/>
    <w:rsid w:val="00A23970"/>
    <w:rsid w:val="00A254DA"/>
    <w:rsid w:val="00A31227"/>
    <w:rsid w:val="00A334CD"/>
    <w:rsid w:val="00A35924"/>
    <w:rsid w:val="00A35B68"/>
    <w:rsid w:val="00A3635D"/>
    <w:rsid w:val="00A37A02"/>
    <w:rsid w:val="00A41997"/>
    <w:rsid w:val="00A45F69"/>
    <w:rsid w:val="00A517CE"/>
    <w:rsid w:val="00A56469"/>
    <w:rsid w:val="00A56CEE"/>
    <w:rsid w:val="00A67187"/>
    <w:rsid w:val="00A7095B"/>
    <w:rsid w:val="00A71491"/>
    <w:rsid w:val="00A776D2"/>
    <w:rsid w:val="00A77730"/>
    <w:rsid w:val="00A80DA4"/>
    <w:rsid w:val="00A81E4E"/>
    <w:rsid w:val="00A83BAC"/>
    <w:rsid w:val="00A865D8"/>
    <w:rsid w:val="00A90ED2"/>
    <w:rsid w:val="00A91615"/>
    <w:rsid w:val="00A921B0"/>
    <w:rsid w:val="00A97AD5"/>
    <w:rsid w:val="00AA7C7D"/>
    <w:rsid w:val="00AB3D05"/>
    <w:rsid w:val="00AB71A2"/>
    <w:rsid w:val="00AC0CBA"/>
    <w:rsid w:val="00AC3A29"/>
    <w:rsid w:val="00AC42B1"/>
    <w:rsid w:val="00AC5131"/>
    <w:rsid w:val="00AC6DAC"/>
    <w:rsid w:val="00AC7861"/>
    <w:rsid w:val="00AD3B18"/>
    <w:rsid w:val="00AD6673"/>
    <w:rsid w:val="00AD7BFD"/>
    <w:rsid w:val="00AE6714"/>
    <w:rsid w:val="00AF37DA"/>
    <w:rsid w:val="00AF45F4"/>
    <w:rsid w:val="00AF65A4"/>
    <w:rsid w:val="00AF7A6C"/>
    <w:rsid w:val="00B028AB"/>
    <w:rsid w:val="00B02957"/>
    <w:rsid w:val="00B03701"/>
    <w:rsid w:val="00B03C54"/>
    <w:rsid w:val="00B07282"/>
    <w:rsid w:val="00B1036A"/>
    <w:rsid w:val="00B10F31"/>
    <w:rsid w:val="00B11212"/>
    <w:rsid w:val="00B1322A"/>
    <w:rsid w:val="00B166EB"/>
    <w:rsid w:val="00B20D4B"/>
    <w:rsid w:val="00B2103B"/>
    <w:rsid w:val="00B237CA"/>
    <w:rsid w:val="00B26997"/>
    <w:rsid w:val="00B333E1"/>
    <w:rsid w:val="00B3724F"/>
    <w:rsid w:val="00B40C41"/>
    <w:rsid w:val="00B41724"/>
    <w:rsid w:val="00B47750"/>
    <w:rsid w:val="00B47765"/>
    <w:rsid w:val="00B51140"/>
    <w:rsid w:val="00B54904"/>
    <w:rsid w:val="00B552B4"/>
    <w:rsid w:val="00B56A1E"/>
    <w:rsid w:val="00B62C95"/>
    <w:rsid w:val="00B6726D"/>
    <w:rsid w:val="00B67A30"/>
    <w:rsid w:val="00B70AEF"/>
    <w:rsid w:val="00B720D7"/>
    <w:rsid w:val="00B73886"/>
    <w:rsid w:val="00B810B7"/>
    <w:rsid w:val="00B82ED2"/>
    <w:rsid w:val="00B835B9"/>
    <w:rsid w:val="00B8388F"/>
    <w:rsid w:val="00B8472D"/>
    <w:rsid w:val="00B90F49"/>
    <w:rsid w:val="00B90F4A"/>
    <w:rsid w:val="00B93D82"/>
    <w:rsid w:val="00B96502"/>
    <w:rsid w:val="00BA3E55"/>
    <w:rsid w:val="00BA6FDF"/>
    <w:rsid w:val="00BB042D"/>
    <w:rsid w:val="00BB0CFF"/>
    <w:rsid w:val="00BB24F9"/>
    <w:rsid w:val="00BB444E"/>
    <w:rsid w:val="00BB4809"/>
    <w:rsid w:val="00BB6878"/>
    <w:rsid w:val="00BB6B7F"/>
    <w:rsid w:val="00BC3C57"/>
    <w:rsid w:val="00BD0CBF"/>
    <w:rsid w:val="00BD1EF2"/>
    <w:rsid w:val="00BD1F91"/>
    <w:rsid w:val="00BD2460"/>
    <w:rsid w:val="00BD3A63"/>
    <w:rsid w:val="00BD3B50"/>
    <w:rsid w:val="00BD50CD"/>
    <w:rsid w:val="00BD5AA5"/>
    <w:rsid w:val="00BD5FE8"/>
    <w:rsid w:val="00BE13ED"/>
    <w:rsid w:val="00BE5B82"/>
    <w:rsid w:val="00BE7737"/>
    <w:rsid w:val="00BF16DD"/>
    <w:rsid w:val="00BF365F"/>
    <w:rsid w:val="00BF57CF"/>
    <w:rsid w:val="00BF5C9B"/>
    <w:rsid w:val="00BF790E"/>
    <w:rsid w:val="00C037DE"/>
    <w:rsid w:val="00C03BA3"/>
    <w:rsid w:val="00C055ED"/>
    <w:rsid w:val="00C079BD"/>
    <w:rsid w:val="00C124E6"/>
    <w:rsid w:val="00C17BCC"/>
    <w:rsid w:val="00C22D53"/>
    <w:rsid w:val="00C23FDF"/>
    <w:rsid w:val="00C269BC"/>
    <w:rsid w:val="00C31DAC"/>
    <w:rsid w:val="00C349C7"/>
    <w:rsid w:val="00C34BBC"/>
    <w:rsid w:val="00C3673F"/>
    <w:rsid w:val="00C374B7"/>
    <w:rsid w:val="00C408E1"/>
    <w:rsid w:val="00C4264B"/>
    <w:rsid w:val="00C4579B"/>
    <w:rsid w:val="00C519E3"/>
    <w:rsid w:val="00C52000"/>
    <w:rsid w:val="00C57B22"/>
    <w:rsid w:val="00C57DCD"/>
    <w:rsid w:val="00C60458"/>
    <w:rsid w:val="00C621DB"/>
    <w:rsid w:val="00C63899"/>
    <w:rsid w:val="00C66FDD"/>
    <w:rsid w:val="00C70826"/>
    <w:rsid w:val="00C71986"/>
    <w:rsid w:val="00C73B7F"/>
    <w:rsid w:val="00C73EB1"/>
    <w:rsid w:val="00C746B0"/>
    <w:rsid w:val="00C75293"/>
    <w:rsid w:val="00C75B2A"/>
    <w:rsid w:val="00C76E10"/>
    <w:rsid w:val="00C8402A"/>
    <w:rsid w:val="00C8511A"/>
    <w:rsid w:val="00C852CC"/>
    <w:rsid w:val="00C93B0A"/>
    <w:rsid w:val="00C950F9"/>
    <w:rsid w:val="00C96C90"/>
    <w:rsid w:val="00CA2396"/>
    <w:rsid w:val="00CB1CB8"/>
    <w:rsid w:val="00CB5964"/>
    <w:rsid w:val="00CB5E9D"/>
    <w:rsid w:val="00CB71CC"/>
    <w:rsid w:val="00CC0475"/>
    <w:rsid w:val="00CC0A9C"/>
    <w:rsid w:val="00CC68A7"/>
    <w:rsid w:val="00CC6EBC"/>
    <w:rsid w:val="00CD04CC"/>
    <w:rsid w:val="00CD101F"/>
    <w:rsid w:val="00CD663B"/>
    <w:rsid w:val="00CE13B0"/>
    <w:rsid w:val="00CE26E3"/>
    <w:rsid w:val="00CE3156"/>
    <w:rsid w:val="00CE554C"/>
    <w:rsid w:val="00CF1BB6"/>
    <w:rsid w:val="00CF457E"/>
    <w:rsid w:val="00CF5296"/>
    <w:rsid w:val="00D03187"/>
    <w:rsid w:val="00D066D1"/>
    <w:rsid w:val="00D162AF"/>
    <w:rsid w:val="00D165E4"/>
    <w:rsid w:val="00D2330F"/>
    <w:rsid w:val="00D23DAE"/>
    <w:rsid w:val="00D24BD7"/>
    <w:rsid w:val="00D26AFB"/>
    <w:rsid w:val="00D3023A"/>
    <w:rsid w:val="00D35917"/>
    <w:rsid w:val="00D36B65"/>
    <w:rsid w:val="00D36C98"/>
    <w:rsid w:val="00D372FA"/>
    <w:rsid w:val="00D40218"/>
    <w:rsid w:val="00D52C14"/>
    <w:rsid w:val="00D52F53"/>
    <w:rsid w:val="00D559CC"/>
    <w:rsid w:val="00D5659A"/>
    <w:rsid w:val="00D60B51"/>
    <w:rsid w:val="00D61421"/>
    <w:rsid w:val="00D62C11"/>
    <w:rsid w:val="00D66990"/>
    <w:rsid w:val="00D70F53"/>
    <w:rsid w:val="00D71B91"/>
    <w:rsid w:val="00D76F3D"/>
    <w:rsid w:val="00D83A6B"/>
    <w:rsid w:val="00D92912"/>
    <w:rsid w:val="00D9390B"/>
    <w:rsid w:val="00D93D42"/>
    <w:rsid w:val="00D9584C"/>
    <w:rsid w:val="00D96DEA"/>
    <w:rsid w:val="00D97FB2"/>
    <w:rsid w:val="00DA0616"/>
    <w:rsid w:val="00DA086D"/>
    <w:rsid w:val="00DA5140"/>
    <w:rsid w:val="00DA66D3"/>
    <w:rsid w:val="00DB056E"/>
    <w:rsid w:val="00DB0F15"/>
    <w:rsid w:val="00DB1148"/>
    <w:rsid w:val="00DB1744"/>
    <w:rsid w:val="00DB42B5"/>
    <w:rsid w:val="00DB5C45"/>
    <w:rsid w:val="00DB732E"/>
    <w:rsid w:val="00DB7FCC"/>
    <w:rsid w:val="00DC01CB"/>
    <w:rsid w:val="00DC0BF1"/>
    <w:rsid w:val="00DC47E6"/>
    <w:rsid w:val="00DC51C5"/>
    <w:rsid w:val="00DD0E9C"/>
    <w:rsid w:val="00DD7DFD"/>
    <w:rsid w:val="00DE2215"/>
    <w:rsid w:val="00DE2B3D"/>
    <w:rsid w:val="00DE6997"/>
    <w:rsid w:val="00DE6D67"/>
    <w:rsid w:val="00DE7650"/>
    <w:rsid w:val="00DF0153"/>
    <w:rsid w:val="00DF16D9"/>
    <w:rsid w:val="00DF39CD"/>
    <w:rsid w:val="00DF3A14"/>
    <w:rsid w:val="00E005EB"/>
    <w:rsid w:val="00E00EE7"/>
    <w:rsid w:val="00E014F8"/>
    <w:rsid w:val="00E01989"/>
    <w:rsid w:val="00E01D90"/>
    <w:rsid w:val="00E020FC"/>
    <w:rsid w:val="00E0376D"/>
    <w:rsid w:val="00E038BA"/>
    <w:rsid w:val="00E04D5E"/>
    <w:rsid w:val="00E06263"/>
    <w:rsid w:val="00E06C20"/>
    <w:rsid w:val="00E075A9"/>
    <w:rsid w:val="00E076E0"/>
    <w:rsid w:val="00E11C11"/>
    <w:rsid w:val="00E1200E"/>
    <w:rsid w:val="00E15DEA"/>
    <w:rsid w:val="00E23C3F"/>
    <w:rsid w:val="00E244F4"/>
    <w:rsid w:val="00E24562"/>
    <w:rsid w:val="00E26C8F"/>
    <w:rsid w:val="00E278FA"/>
    <w:rsid w:val="00E305D7"/>
    <w:rsid w:val="00E31C0F"/>
    <w:rsid w:val="00E327D9"/>
    <w:rsid w:val="00E3414B"/>
    <w:rsid w:val="00E348B6"/>
    <w:rsid w:val="00E35A8F"/>
    <w:rsid w:val="00E378A8"/>
    <w:rsid w:val="00E37D42"/>
    <w:rsid w:val="00E421AB"/>
    <w:rsid w:val="00E42F5B"/>
    <w:rsid w:val="00E44CF1"/>
    <w:rsid w:val="00E45539"/>
    <w:rsid w:val="00E4730C"/>
    <w:rsid w:val="00E50BDB"/>
    <w:rsid w:val="00E51873"/>
    <w:rsid w:val="00E602F8"/>
    <w:rsid w:val="00E6037A"/>
    <w:rsid w:val="00E6459F"/>
    <w:rsid w:val="00E70C1A"/>
    <w:rsid w:val="00E72E52"/>
    <w:rsid w:val="00E7362A"/>
    <w:rsid w:val="00E74CA9"/>
    <w:rsid w:val="00E74F94"/>
    <w:rsid w:val="00E75E11"/>
    <w:rsid w:val="00E77473"/>
    <w:rsid w:val="00E776C2"/>
    <w:rsid w:val="00E813FA"/>
    <w:rsid w:val="00E83B16"/>
    <w:rsid w:val="00E856B1"/>
    <w:rsid w:val="00E85A12"/>
    <w:rsid w:val="00E86BDA"/>
    <w:rsid w:val="00E91CBA"/>
    <w:rsid w:val="00E97F56"/>
    <w:rsid w:val="00EA3F54"/>
    <w:rsid w:val="00EB05AB"/>
    <w:rsid w:val="00EB16CE"/>
    <w:rsid w:val="00EB2292"/>
    <w:rsid w:val="00EB3E0B"/>
    <w:rsid w:val="00EB4BF4"/>
    <w:rsid w:val="00EB64AA"/>
    <w:rsid w:val="00EB7EF3"/>
    <w:rsid w:val="00EC01F6"/>
    <w:rsid w:val="00EC0232"/>
    <w:rsid w:val="00EC0C94"/>
    <w:rsid w:val="00EC2E63"/>
    <w:rsid w:val="00ED1431"/>
    <w:rsid w:val="00ED455B"/>
    <w:rsid w:val="00ED6051"/>
    <w:rsid w:val="00ED6713"/>
    <w:rsid w:val="00EE0556"/>
    <w:rsid w:val="00EE33B6"/>
    <w:rsid w:val="00EE5EC2"/>
    <w:rsid w:val="00EE68FC"/>
    <w:rsid w:val="00EE719C"/>
    <w:rsid w:val="00EE7A74"/>
    <w:rsid w:val="00EF09E2"/>
    <w:rsid w:val="00EF407F"/>
    <w:rsid w:val="00EF5AD7"/>
    <w:rsid w:val="00F00546"/>
    <w:rsid w:val="00F03A84"/>
    <w:rsid w:val="00F20060"/>
    <w:rsid w:val="00F24883"/>
    <w:rsid w:val="00F24999"/>
    <w:rsid w:val="00F25B5C"/>
    <w:rsid w:val="00F26E0E"/>
    <w:rsid w:val="00F409A0"/>
    <w:rsid w:val="00F44331"/>
    <w:rsid w:val="00F456E9"/>
    <w:rsid w:val="00F459CE"/>
    <w:rsid w:val="00F54493"/>
    <w:rsid w:val="00F55287"/>
    <w:rsid w:val="00F60E9B"/>
    <w:rsid w:val="00F636F8"/>
    <w:rsid w:val="00F652FA"/>
    <w:rsid w:val="00F67581"/>
    <w:rsid w:val="00F72794"/>
    <w:rsid w:val="00F744F5"/>
    <w:rsid w:val="00F8168E"/>
    <w:rsid w:val="00F81EF2"/>
    <w:rsid w:val="00F879F6"/>
    <w:rsid w:val="00F90126"/>
    <w:rsid w:val="00F9076E"/>
    <w:rsid w:val="00F90B8B"/>
    <w:rsid w:val="00F91812"/>
    <w:rsid w:val="00F9336D"/>
    <w:rsid w:val="00F94607"/>
    <w:rsid w:val="00F953B4"/>
    <w:rsid w:val="00F95A1A"/>
    <w:rsid w:val="00F9631D"/>
    <w:rsid w:val="00F96977"/>
    <w:rsid w:val="00FA0B4D"/>
    <w:rsid w:val="00FA0DEF"/>
    <w:rsid w:val="00FA230C"/>
    <w:rsid w:val="00FA2A9D"/>
    <w:rsid w:val="00FA2F86"/>
    <w:rsid w:val="00FA3549"/>
    <w:rsid w:val="00FA6457"/>
    <w:rsid w:val="00FA6516"/>
    <w:rsid w:val="00FB2B4A"/>
    <w:rsid w:val="00FB3833"/>
    <w:rsid w:val="00FB47A5"/>
    <w:rsid w:val="00FB5C32"/>
    <w:rsid w:val="00FC57A2"/>
    <w:rsid w:val="00FC6F96"/>
    <w:rsid w:val="00FD388C"/>
    <w:rsid w:val="00FD6593"/>
    <w:rsid w:val="00FD6716"/>
    <w:rsid w:val="00FE5315"/>
    <w:rsid w:val="00FE5BAA"/>
    <w:rsid w:val="00FF4400"/>
    <w:rsid w:val="00FF5023"/>
    <w:rsid w:val="00FF50E8"/>
    <w:rsid w:val="00FF5610"/>
    <w:rsid w:val="00FF5FC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376D"/>
    <w:rPr>
      <w:sz w:val="24"/>
      <w:szCs w:val="24"/>
      <w:lang w:val="en-US"/>
    </w:rPr>
  </w:style>
  <w:style w:type="paragraph" w:styleId="Heading1">
    <w:name w:val="heading 1"/>
    <w:basedOn w:val="Normal"/>
    <w:next w:val="Normal"/>
    <w:qFormat/>
    <w:rsid w:val="0006335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6335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F62C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376D"/>
    <w:pPr>
      <w:tabs>
        <w:tab w:val="center" w:pos="4536"/>
        <w:tab w:val="right" w:pos="9072"/>
      </w:tabs>
    </w:pPr>
  </w:style>
  <w:style w:type="character" w:styleId="PageNumber">
    <w:name w:val="page number"/>
    <w:basedOn w:val="DefaultParagraphFont"/>
    <w:rsid w:val="00E0376D"/>
  </w:style>
  <w:style w:type="paragraph" w:styleId="FootnoteText">
    <w:name w:val="footnote text"/>
    <w:basedOn w:val="Normal"/>
    <w:link w:val="FootnoteTextChar"/>
    <w:semiHidden/>
    <w:rsid w:val="00867472"/>
    <w:rPr>
      <w:sz w:val="20"/>
      <w:szCs w:val="20"/>
    </w:rPr>
  </w:style>
  <w:style w:type="character" w:customStyle="1" w:styleId="FootnoteTextChar">
    <w:name w:val="Footnote Text Char"/>
    <w:link w:val="FootnoteText"/>
    <w:rsid w:val="00867472"/>
    <w:rPr>
      <w:lang w:val="en-US" w:eastAsia="sv-SE" w:bidi="ar-SA"/>
    </w:rPr>
  </w:style>
  <w:style w:type="character" w:styleId="FootnoteReference">
    <w:name w:val="footnote reference"/>
    <w:semiHidden/>
    <w:rsid w:val="00867472"/>
    <w:rPr>
      <w:vertAlign w:val="superscript"/>
    </w:rPr>
  </w:style>
  <w:style w:type="paragraph" w:styleId="Header">
    <w:name w:val="header"/>
    <w:basedOn w:val="Normal"/>
    <w:rsid w:val="00F744F5"/>
    <w:pPr>
      <w:tabs>
        <w:tab w:val="center" w:pos="4536"/>
        <w:tab w:val="right" w:pos="9072"/>
      </w:tabs>
    </w:pPr>
  </w:style>
  <w:style w:type="paragraph" w:styleId="Title">
    <w:name w:val="Title"/>
    <w:basedOn w:val="Normal"/>
    <w:next w:val="Normal"/>
    <w:link w:val="TitleChar"/>
    <w:qFormat/>
    <w:rsid w:val="00B62C95"/>
    <w:pPr>
      <w:spacing w:before="240" w:after="60"/>
      <w:jc w:val="center"/>
      <w:outlineLvl w:val="0"/>
    </w:pPr>
    <w:rPr>
      <w:rFonts w:ascii="Cambria" w:hAnsi="Cambria"/>
      <w:b/>
      <w:bCs/>
      <w:kern w:val="28"/>
      <w:sz w:val="32"/>
      <w:szCs w:val="32"/>
      <w:lang/>
    </w:rPr>
  </w:style>
  <w:style w:type="character" w:customStyle="1" w:styleId="TitleChar">
    <w:name w:val="Title Char"/>
    <w:link w:val="Title"/>
    <w:rsid w:val="00B62C95"/>
    <w:rPr>
      <w:rFonts w:ascii="Cambria" w:eastAsia="Times New Roman" w:hAnsi="Cambria" w:cs="Times New Roman"/>
      <w:b/>
      <w:bCs/>
      <w:kern w:val="28"/>
      <w:sz w:val="32"/>
      <w:szCs w:val="32"/>
      <w:lang w:eastAsia="sv-SE"/>
    </w:rPr>
  </w:style>
  <w:style w:type="paragraph" w:styleId="BalloonText">
    <w:name w:val="Balloon Text"/>
    <w:basedOn w:val="Normal"/>
    <w:link w:val="BalloonTextChar"/>
    <w:rsid w:val="009E0DA7"/>
    <w:rPr>
      <w:rFonts w:ascii="Tahoma" w:hAnsi="Tahoma"/>
      <w:sz w:val="16"/>
      <w:szCs w:val="16"/>
      <w:lang/>
    </w:rPr>
  </w:style>
  <w:style w:type="character" w:customStyle="1" w:styleId="BalloonTextChar">
    <w:name w:val="Balloon Text Char"/>
    <w:link w:val="BalloonText"/>
    <w:rsid w:val="009E0DA7"/>
    <w:rPr>
      <w:rFonts w:ascii="Tahoma" w:hAnsi="Tahoma" w:cs="Tahoma"/>
      <w:sz w:val="16"/>
      <w:szCs w:val="16"/>
      <w:lang w:eastAsia="sv-SE"/>
    </w:rPr>
  </w:style>
  <w:style w:type="character" w:styleId="CommentReference">
    <w:name w:val="annotation reference"/>
    <w:rsid w:val="00C96C90"/>
    <w:rPr>
      <w:sz w:val="16"/>
      <w:szCs w:val="16"/>
    </w:rPr>
  </w:style>
  <w:style w:type="paragraph" w:styleId="CommentText">
    <w:name w:val="annotation text"/>
    <w:basedOn w:val="Normal"/>
    <w:link w:val="CommentTextChar"/>
    <w:rsid w:val="00C96C90"/>
    <w:rPr>
      <w:sz w:val="20"/>
      <w:szCs w:val="20"/>
    </w:rPr>
  </w:style>
  <w:style w:type="character" w:customStyle="1" w:styleId="CommentTextChar">
    <w:name w:val="Comment Text Char"/>
    <w:link w:val="CommentText"/>
    <w:rsid w:val="00C96C90"/>
    <w:rPr>
      <w:lang w:val="en-US" w:eastAsia="sv-SE"/>
    </w:rPr>
  </w:style>
  <w:style w:type="paragraph" w:styleId="CommentSubject">
    <w:name w:val="annotation subject"/>
    <w:basedOn w:val="CommentText"/>
    <w:next w:val="CommentText"/>
    <w:link w:val="CommentSubjectChar"/>
    <w:rsid w:val="00C96C90"/>
    <w:rPr>
      <w:b/>
      <w:bCs/>
    </w:rPr>
  </w:style>
  <w:style w:type="character" w:customStyle="1" w:styleId="CommentSubjectChar">
    <w:name w:val="Comment Subject Char"/>
    <w:link w:val="CommentSubject"/>
    <w:rsid w:val="00C96C90"/>
    <w:rPr>
      <w:b/>
      <w:bCs/>
      <w:lang w:val="en-US" w:eastAsia="sv-SE"/>
    </w:rPr>
  </w:style>
  <w:style w:type="character" w:customStyle="1" w:styleId="FooterChar">
    <w:name w:val="Footer Char"/>
    <w:link w:val="Footer"/>
    <w:uiPriority w:val="99"/>
    <w:rsid w:val="00815819"/>
    <w:rPr>
      <w:sz w:val="24"/>
      <w:szCs w:val="24"/>
      <w:lang w:val="en-US" w:eastAsia="sv-SE"/>
    </w:rPr>
  </w:style>
  <w:style w:type="character" w:styleId="Hyperlink">
    <w:name w:val="Hyperlink"/>
    <w:basedOn w:val="DefaultParagraphFont"/>
    <w:rsid w:val="00FF56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376D"/>
    <w:rPr>
      <w:sz w:val="24"/>
      <w:szCs w:val="24"/>
      <w:lang w:val="en-US"/>
    </w:rPr>
  </w:style>
  <w:style w:type="paragraph" w:styleId="Rubrik1">
    <w:name w:val="heading 1"/>
    <w:basedOn w:val="Normal"/>
    <w:next w:val="Normal"/>
    <w:qFormat/>
    <w:rsid w:val="0006335D"/>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06335D"/>
    <w:pPr>
      <w:keepNext/>
      <w:spacing w:before="240" w:after="60"/>
      <w:outlineLvl w:val="1"/>
    </w:pPr>
    <w:rPr>
      <w:rFonts w:ascii="Arial" w:hAnsi="Arial" w:cs="Arial"/>
      <w:b/>
      <w:bCs/>
      <w:i/>
      <w:iCs/>
      <w:sz w:val="28"/>
      <w:szCs w:val="28"/>
    </w:rPr>
  </w:style>
  <w:style w:type="paragraph" w:styleId="Rubrik3">
    <w:name w:val="heading 3"/>
    <w:basedOn w:val="Normal"/>
    <w:next w:val="Normal"/>
    <w:qFormat/>
    <w:rsid w:val="006F62C1"/>
    <w:pPr>
      <w:keepNext/>
      <w:spacing w:before="240" w:after="60"/>
      <w:outlineLvl w:val="2"/>
    </w:pPr>
    <w:rPr>
      <w:rFonts w:ascii="Arial" w:hAnsi="Arial" w:cs="Arial"/>
      <w:b/>
      <w:bCs/>
      <w:sz w:val="26"/>
      <w:szCs w:val="26"/>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fot">
    <w:name w:val="footer"/>
    <w:basedOn w:val="Normal"/>
    <w:link w:val="SidfotChar"/>
    <w:uiPriority w:val="99"/>
    <w:rsid w:val="00E0376D"/>
    <w:pPr>
      <w:tabs>
        <w:tab w:val="center" w:pos="4536"/>
        <w:tab w:val="right" w:pos="9072"/>
      </w:tabs>
    </w:pPr>
  </w:style>
  <w:style w:type="character" w:styleId="Sidnummer">
    <w:name w:val="page number"/>
    <w:basedOn w:val="Standardstycketeckensnitt"/>
    <w:rsid w:val="00E0376D"/>
  </w:style>
  <w:style w:type="paragraph" w:styleId="Fotnotstext">
    <w:name w:val="footnote text"/>
    <w:basedOn w:val="Normal"/>
    <w:link w:val="FotnotstextChar"/>
    <w:semiHidden/>
    <w:rsid w:val="00867472"/>
    <w:rPr>
      <w:sz w:val="20"/>
      <w:szCs w:val="20"/>
    </w:rPr>
  </w:style>
  <w:style w:type="character" w:customStyle="1" w:styleId="FotnotstextChar">
    <w:name w:val="Fotnotstext Char"/>
    <w:link w:val="Fotnotstext"/>
    <w:rsid w:val="00867472"/>
    <w:rPr>
      <w:lang w:val="en-US" w:eastAsia="sv-SE" w:bidi="ar-SA"/>
    </w:rPr>
  </w:style>
  <w:style w:type="character" w:styleId="Fotnotsreferens">
    <w:name w:val="footnote reference"/>
    <w:semiHidden/>
    <w:rsid w:val="00867472"/>
    <w:rPr>
      <w:vertAlign w:val="superscript"/>
    </w:rPr>
  </w:style>
  <w:style w:type="paragraph" w:styleId="Sidhuvud">
    <w:name w:val="header"/>
    <w:basedOn w:val="Normal"/>
    <w:rsid w:val="00F744F5"/>
    <w:pPr>
      <w:tabs>
        <w:tab w:val="center" w:pos="4536"/>
        <w:tab w:val="right" w:pos="9072"/>
      </w:tabs>
    </w:pPr>
  </w:style>
  <w:style w:type="paragraph" w:styleId="Rubrik">
    <w:name w:val="Title"/>
    <w:basedOn w:val="Normal"/>
    <w:next w:val="Normal"/>
    <w:link w:val="RubrikChar"/>
    <w:qFormat/>
    <w:rsid w:val="00B62C95"/>
    <w:pPr>
      <w:spacing w:before="240" w:after="60"/>
      <w:jc w:val="center"/>
      <w:outlineLvl w:val="0"/>
    </w:pPr>
    <w:rPr>
      <w:rFonts w:ascii="Cambria" w:hAnsi="Cambria"/>
      <w:b/>
      <w:bCs/>
      <w:kern w:val="28"/>
      <w:sz w:val="32"/>
      <w:szCs w:val="32"/>
      <w:lang w:val="x-none"/>
    </w:rPr>
  </w:style>
  <w:style w:type="character" w:customStyle="1" w:styleId="RubrikChar">
    <w:name w:val="Rubrik Char"/>
    <w:link w:val="Rubrik"/>
    <w:rsid w:val="00B62C95"/>
    <w:rPr>
      <w:rFonts w:ascii="Cambria" w:eastAsia="Times New Roman" w:hAnsi="Cambria" w:cs="Times New Roman"/>
      <w:b/>
      <w:bCs/>
      <w:kern w:val="28"/>
      <w:sz w:val="32"/>
      <w:szCs w:val="32"/>
      <w:lang w:eastAsia="sv-SE"/>
    </w:rPr>
  </w:style>
  <w:style w:type="paragraph" w:styleId="Ballongtext">
    <w:name w:val="Balloon Text"/>
    <w:basedOn w:val="Normal"/>
    <w:link w:val="BallongtextChar"/>
    <w:rsid w:val="009E0DA7"/>
    <w:rPr>
      <w:rFonts w:ascii="Tahoma" w:hAnsi="Tahoma"/>
      <w:sz w:val="16"/>
      <w:szCs w:val="16"/>
      <w:lang w:val="x-none"/>
    </w:rPr>
  </w:style>
  <w:style w:type="character" w:customStyle="1" w:styleId="BallongtextChar">
    <w:name w:val="Ballongtext Char"/>
    <w:link w:val="Ballongtext"/>
    <w:rsid w:val="009E0DA7"/>
    <w:rPr>
      <w:rFonts w:ascii="Tahoma" w:hAnsi="Tahoma" w:cs="Tahoma"/>
      <w:sz w:val="16"/>
      <w:szCs w:val="16"/>
      <w:lang w:eastAsia="sv-SE"/>
    </w:rPr>
  </w:style>
  <w:style w:type="character" w:styleId="Kommentarsreferens">
    <w:name w:val="annotation reference"/>
    <w:rsid w:val="00C96C90"/>
    <w:rPr>
      <w:sz w:val="16"/>
      <w:szCs w:val="16"/>
    </w:rPr>
  </w:style>
  <w:style w:type="paragraph" w:styleId="Kommentarer">
    <w:name w:val="annotation text"/>
    <w:basedOn w:val="Normal"/>
    <w:link w:val="KommentarerChar"/>
    <w:rsid w:val="00C96C90"/>
    <w:rPr>
      <w:sz w:val="20"/>
      <w:szCs w:val="20"/>
    </w:rPr>
  </w:style>
  <w:style w:type="character" w:customStyle="1" w:styleId="KommentarerChar">
    <w:name w:val="Kommentarer Char"/>
    <w:link w:val="Kommentarer"/>
    <w:rsid w:val="00C96C90"/>
    <w:rPr>
      <w:lang w:val="en-US" w:eastAsia="sv-SE"/>
    </w:rPr>
  </w:style>
  <w:style w:type="paragraph" w:styleId="Kommentarsmne">
    <w:name w:val="annotation subject"/>
    <w:basedOn w:val="Kommentarer"/>
    <w:next w:val="Kommentarer"/>
    <w:link w:val="KommentarsmneChar"/>
    <w:rsid w:val="00C96C90"/>
    <w:rPr>
      <w:b/>
      <w:bCs/>
    </w:rPr>
  </w:style>
  <w:style w:type="character" w:customStyle="1" w:styleId="KommentarsmneChar">
    <w:name w:val="Kommentarsämne Char"/>
    <w:link w:val="Kommentarsmne"/>
    <w:rsid w:val="00C96C90"/>
    <w:rPr>
      <w:b/>
      <w:bCs/>
      <w:lang w:val="en-US" w:eastAsia="sv-SE"/>
    </w:rPr>
  </w:style>
  <w:style w:type="character" w:customStyle="1" w:styleId="SidfotChar">
    <w:name w:val="Sidfot Char"/>
    <w:link w:val="Sidfot"/>
    <w:uiPriority w:val="99"/>
    <w:rsid w:val="00815819"/>
    <w:rPr>
      <w:sz w:val="24"/>
      <w:szCs w:val="24"/>
      <w:lang w:val="en-US" w:eastAsia="sv-S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mailto:andreas.pettersson@jus.um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05BD6-6953-4E41-9642-8C4D99E1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6940</Words>
  <Characters>40479</Characters>
  <Application>Microsoft Office Word</Application>
  <DocSecurity>0</DocSecurity>
  <Lines>337</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Andreas Pettersson</vt:lpstr>
      <vt:lpstr>Andreas Pettersson</vt:lpstr>
    </vt:vector>
  </TitlesOfParts>
  <Company>Umeå universitet</Company>
  <LinksUpToDate>false</LinksUpToDate>
  <CharactersWithSpaces>47325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Andreas Pettersson</dc:title>
  <dc:creator>Juridik</dc:creator>
  <cp:lastModifiedBy>KLS Staff</cp:lastModifiedBy>
  <cp:revision>3</cp:revision>
  <cp:lastPrinted>2011-11-24T02:12:00Z</cp:lastPrinted>
  <dcterms:created xsi:type="dcterms:W3CDTF">2012-07-18T16:33:00Z</dcterms:created>
  <dcterms:modified xsi:type="dcterms:W3CDTF">2012-07-18T16:34:00Z</dcterms:modified>
</cp:coreProperties>
</file>